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#105-e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R1-21</w:t>
      </w:r>
      <w:r>
        <w:rPr>
          <w:rFonts w:hint="eastAsia" w:ascii="Arial" w:hAnsi="Arial" w:cs="Arial"/>
          <w:b/>
          <w:bCs/>
          <w:sz w:val="22"/>
          <w:szCs w:val="22"/>
        </w:rPr>
        <w:t>04877</w:t>
      </w:r>
    </w:p>
    <w:p>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 xml:space="preserve">e-Meeting, </w:t>
      </w:r>
      <w:r>
        <w:rPr>
          <w:rFonts w:ascii="Arial" w:hAnsi="Arial" w:cs="Arial"/>
          <w:b/>
          <w:bCs/>
          <w:sz w:val="22"/>
          <w:szCs w:val="22"/>
        </w:rPr>
        <w:t>May 10</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b/>
          <w:bCs/>
          <w:sz w:val="22"/>
          <w:szCs w:val="22"/>
        </w:rPr>
        <w:t>27</w:t>
      </w:r>
      <w:r>
        <w:rPr>
          <w:rFonts w:ascii="Arial" w:hAnsi="Arial" w:cs="Arial"/>
          <w:b/>
          <w:bCs/>
          <w:sz w:val="22"/>
          <w:szCs w:val="22"/>
          <w:vertAlign w:val="superscript"/>
          <w:lang w:eastAsia="ja-JP"/>
        </w:rPr>
        <w:t>th</w:t>
      </w:r>
      <w:r>
        <w:rPr>
          <w:rFonts w:ascii="Arial" w:hAnsi="Arial" w:cs="Arial"/>
          <w:b/>
          <w:bCs/>
          <w:sz w:val="22"/>
          <w:szCs w:val="22"/>
          <w:lang w:eastAsia="ja-JP"/>
        </w:rPr>
        <w:t xml:space="preserve">, </w:t>
      </w:r>
      <w:r>
        <w:rPr>
          <w:rFonts w:ascii="Arial" w:hAnsi="Arial" w:cs="Arial"/>
          <w:b/>
          <w:bCs/>
          <w:sz w:val="22"/>
          <w:szCs w:val="22"/>
        </w:rPr>
        <w:t>2021</w:t>
      </w:r>
    </w:p>
    <w:p>
      <w:pPr>
        <w:tabs>
          <w:tab w:val="left" w:pos="1985"/>
        </w:tabs>
        <w:spacing w:before="240" w:beforeLines="100" w:after="120"/>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r>
      <w:r>
        <w:rPr>
          <w:rFonts w:ascii="Arial" w:hAnsi="Arial" w:cs="Arial"/>
          <w:b/>
          <w:sz w:val="22"/>
          <w:szCs w:val="22"/>
        </w:rPr>
        <w:t>Enhancements to the IAB resource multiplexing</w:t>
      </w:r>
    </w:p>
    <w:p>
      <w:pPr>
        <w:tabs>
          <w:tab w:val="left" w:pos="1985"/>
        </w:tabs>
        <w:spacing w:before="120" w:after="120"/>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r>
      <w:r>
        <w:rPr>
          <w:rFonts w:ascii="Arial" w:hAnsi="Arial" w:cs="Arial"/>
          <w:b/>
          <w:sz w:val="22"/>
          <w:szCs w:val="22"/>
        </w:rPr>
        <w:t>ZTE, Sanechips</w:t>
      </w:r>
    </w:p>
    <w:p>
      <w:pPr>
        <w:tabs>
          <w:tab w:val="left" w:pos="1985"/>
        </w:tabs>
        <w:spacing w:before="120" w:after="120"/>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8.10.1</w:t>
      </w:r>
    </w:p>
    <w:p>
      <w:pPr>
        <w:tabs>
          <w:tab w:val="left" w:pos="1985"/>
        </w:tabs>
        <w:spacing w:before="120" w:after="120"/>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pPr>
        <w:pStyle w:val="2"/>
        <w:spacing w:before="120" w:after="120"/>
        <w:ind w:left="0"/>
        <w:rPr>
          <w:rFonts w:eastAsia="宋体" w:cs="Arial"/>
          <w:szCs w:val="32"/>
        </w:rPr>
      </w:pPr>
      <w:r>
        <w:rPr>
          <w:rFonts w:eastAsia="宋体" w:cs="Arial"/>
          <w:szCs w:val="32"/>
        </w:rPr>
        <w:t>Introduction</w:t>
      </w:r>
    </w:p>
    <w:p>
      <w:pPr>
        <w:spacing w:before="120" w:after="120"/>
        <w:rPr>
          <w:sz w:val="20"/>
        </w:rPr>
      </w:pPr>
      <w:r>
        <w:rPr>
          <w:sz w:val="20"/>
        </w:rPr>
        <w:t>In order to support simultaneous operation by IAB node’s child and parent links, some enhancements had been discussed</w:t>
      </w:r>
      <w:r>
        <w:rPr>
          <w:rFonts w:hint="eastAsia"/>
          <w:sz w:val="20"/>
        </w:rPr>
        <w:t xml:space="preserve">, </w:t>
      </w:r>
      <w:r>
        <w:rPr>
          <w:sz w:val="20"/>
        </w:rPr>
        <w:t>such as extension of the semi-static DU resource type indication to frequency domain, resource management in the spatial domain, dual-connectivity</w:t>
      </w:r>
      <w:r>
        <w:rPr>
          <w:rFonts w:hint="eastAsia"/>
          <w:sz w:val="20"/>
        </w:rPr>
        <w:t>,</w:t>
      </w:r>
      <w:r>
        <w:rPr>
          <w:sz w:val="20"/>
        </w:rPr>
        <w:t xml:space="preserve"> etc. In this contribution, we will continue to provide views on these aspects.</w:t>
      </w:r>
    </w:p>
    <w:p>
      <w:pPr>
        <w:pStyle w:val="2"/>
        <w:spacing w:before="120" w:after="120"/>
        <w:ind w:left="0"/>
        <w:rPr>
          <w:rFonts w:cs="Arial"/>
          <w:szCs w:val="32"/>
        </w:rPr>
      </w:pPr>
      <w:r>
        <w:rPr>
          <w:rFonts w:cs="Arial"/>
          <w:szCs w:val="32"/>
        </w:rPr>
        <w:t xml:space="preserve">Discussions </w:t>
      </w:r>
    </w:p>
    <w:p>
      <w:pPr>
        <w:pStyle w:val="3"/>
        <w:spacing w:before="120" w:after="120"/>
        <w:ind w:left="991" w:right="210" w:hanging="991" w:hangingChars="354"/>
        <w:rPr>
          <w:rFonts w:cs="Arial"/>
          <w:szCs w:val="28"/>
        </w:rPr>
      </w:pPr>
      <w:r>
        <w:rPr>
          <w:rFonts w:cs="Arial"/>
          <w:szCs w:val="28"/>
        </w:rPr>
        <w:t xml:space="preserve">DU resource </w:t>
      </w:r>
      <w:r>
        <w:rPr>
          <w:rFonts w:hint="eastAsia" w:eastAsia="宋体" w:cs="Arial"/>
          <w:szCs w:val="28"/>
        </w:rPr>
        <w:t>configuration</w:t>
      </w:r>
      <w:r>
        <w:rPr>
          <w:rFonts w:cs="Arial"/>
          <w:szCs w:val="28"/>
        </w:rPr>
        <w:t xml:space="preserve"> </w:t>
      </w:r>
      <w:r>
        <w:rPr>
          <w:rFonts w:hint="eastAsia" w:eastAsia="宋体" w:cs="Arial"/>
          <w:szCs w:val="28"/>
        </w:rPr>
        <w:t>in</w:t>
      </w:r>
      <w:r>
        <w:rPr>
          <w:rFonts w:cs="Arial"/>
          <w:szCs w:val="28"/>
        </w:rPr>
        <w:t xml:space="preserve"> frequency</w:t>
      </w:r>
      <w:r>
        <w:rPr>
          <w:rFonts w:eastAsia="宋体" w:cs="Arial"/>
          <w:szCs w:val="28"/>
        </w:rPr>
        <w:t xml:space="preserve"> </w:t>
      </w:r>
      <w:r>
        <w:rPr>
          <w:rFonts w:cs="Arial"/>
          <w:szCs w:val="28"/>
        </w:rPr>
        <w:t>domain</w:t>
      </w:r>
    </w:p>
    <w:p>
      <w:pPr>
        <w:spacing w:before="120" w:after="120"/>
        <w:rPr>
          <w:sz w:val="20"/>
        </w:rPr>
      </w:pPr>
      <w:r>
        <w:rPr>
          <w:sz w:val="20"/>
        </w:rPr>
        <w:t>The following agreements have been made in RAN1#104b-e on semi-static resource configuration and dynamic indication of availability for soft frequency resources for DU[1]: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pStyle w:val="30"/>
              <w:widowControl w:val="0"/>
              <w:spacing w:after="120"/>
              <w:ind w:left="0"/>
              <w:rPr>
                <w:rFonts w:eastAsia="Calibri"/>
                <w:b/>
                <w:bCs/>
                <w:sz w:val="20"/>
                <w:szCs w:val="20"/>
                <w:highlight w:val="green"/>
                <w:lang w:eastAsia="en-US"/>
              </w:rPr>
            </w:pPr>
            <w:r>
              <w:rPr>
                <w:rFonts w:eastAsia="Calibri"/>
                <w:b/>
                <w:bCs/>
                <w:sz w:val="20"/>
                <w:szCs w:val="20"/>
                <w:highlight w:val="green"/>
                <w:lang w:eastAsia="en-US"/>
              </w:rPr>
              <w:t>Agreement</w:t>
            </w:r>
          </w:p>
          <w:p>
            <w:pPr>
              <w:pStyle w:val="30"/>
              <w:widowControl w:val="0"/>
              <w:spacing w:after="120"/>
              <w:ind w:left="0"/>
              <w:rPr>
                <w:sz w:val="20"/>
                <w:szCs w:val="20"/>
                <w:lang w:eastAsia="en-US"/>
              </w:rPr>
            </w:pPr>
            <w:r>
              <w:rPr>
                <w:sz w:val="20"/>
                <w:szCs w:val="20"/>
                <w:lang w:eastAsia="en-US"/>
              </w:rPr>
              <w:t>The extension of the semi-static DU resource type indication to frequency-domain resources within a carrier (in addition to existing Rel-16 per-carrier granularity) for H/S/NA resource types is supported</w:t>
            </w:r>
          </w:p>
          <w:p>
            <w:pPr>
              <w:pStyle w:val="30"/>
              <w:widowControl w:val="0"/>
              <w:spacing w:after="120"/>
              <w:ind w:left="0"/>
              <w:rPr>
                <w:sz w:val="20"/>
                <w:szCs w:val="20"/>
                <w:lang w:eastAsia="en-US"/>
              </w:rPr>
            </w:pPr>
          </w:p>
          <w:p>
            <w:pPr>
              <w:pStyle w:val="7"/>
              <w:widowControl w:val="0"/>
              <w:spacing w:before="120"/>
              <w:jc w:val="left"/>
              <w:rPr>
                <w:rFonts w:eastAsia="Times New Roman"/>
                <w:b/>
                <w:sz w:val="20"/>
                <w:highlight w:val="green"/>
              </w:rPr>
            </w:pPr>
            <w:r>
              <w:rPr>
                <w:rFonts w:eastAsia="Times New Roman"/>
                <w:b/>
                <w:sz w:val="20"/>
                <w:highlight w:val="green"/>
              </w:rPr>
              <w:t>Agreement</w:t>
            </w:r>
          </w:p>
          <w:p>
            <w:pPr>
              <w:pStyle w:val="38"/>
              <w:widowControl w:val="0"/>
              <w:spacing w:before="120" w:after="120"/>
              <w:ind w:firstLine="0" w:firstLineChars="0"/>
              <w:rPr>
                <w:rFonts w:eastAsia="Times New Roman"/>
                <w:bCs/>
                <w:sz w:val="20"/>
                <w:lang w:eastAsia="en-US"/>
              </w:rPr>
            </w:pPr>
            <w:r>
              <w:rPr>
                <w:rFonts w:eastAsia="Times New Roman"/>
                <w:bCs/>
                <w:sz w:val="20"/>
                <w:lang w:eastAsia="en-US"/>
              </w:rPr>
              <w:t>For the semi-static DU resource configuration in the frequency domain within a carrier, the frequency-domain granularity is configurable</w:t>
            </w:r>
          </w:p>
          <w:p>
            <w:pPr>
              <w:pStyle w:val="38"/>
              <w:widowControl w:val="0"/>
              <w:numPr>
                <w:ilvl w:val="0"/>
                <w:numId w:val="8"/>
              </w:numPr>
              <w:spacing w:before="120" w:after="120"/>
              <w:ind w:firstLineChars="0"/>
              <w:rPr>
                <w:rFonts w:eastAsia="Times New Roman"/>
                <w:bCs/>
                <w:sz w:val="20"/>
                <w:lang w:eastAsia="en-US"/>
              </w:rPr>
            </w:pPr>
            <w:r>
              <w:rPr>
                <w:rFonts w:eastAsia="Times New Roman"/>
                <w:bCs/>
                <w:sz w:val="20"/>
                <w:lang w:eastAsia="en-US"/>
              </w:rPr>
              <w:t>FFS:  minimum resource size e.g. N PRBs/N RBGs</w:t>
            </w:r>
          </w:p>
          <w:p>
            <w:pPr>
              <w:pStyle w:val="38"/>
              <w:widowControl w:val="0"/>
              <w:numPr>
                <w:ilvl w:val="0"/>
                <w:numId w:val="8"/>
              </w:numPr>
              <w:spacing w:before="120" w:after="120"/>
              <w:ind w:firstLineChars="0"/>
              <w:rPr>
                <w:rFonts w:eastAsia="Times New Roman"/>
                <w:bCs/>
                <w:sz w:val="20"/>
                <w:lang w:eastAsia="en-US"/>
              </w:rPr>
            </w:pPr>
            <w:r>
              <w:rPr>
                <w:rFonts w:eastAsia="Times New Roman"/>
                <w:bCs/>
                <w:sz w:val="20"/>
                <w:lang w:eastAsia="en-US"/>
              </w:rPr>
              <w:t>FFS: Separate or joint TDM and FDM semi-static DU resource configurations</w:t>
            </w:r>
          </w:p>
          <w:p>
            <w:pPr>
              <w:widowControl w:val="0"/>
              <w:spacing w:before="120" w:after="120"/>
              <w:rPr>
                <w:sz w:val="20"/>
              </w:rPr>
            </w:pPr>
          </w:p>
          <w:p>
            <w:pPr>
              <w:pStyle w:val="30"/>
              <w:widowControl w:val="0"/>
              <w:spacing w:after="120"/>
              <w:ind w:left="0"/>
              <w:rPr>
                <w:rFonts w:eastAsia="Calibri"/>
                <w:b/>
                <w:bCs/>
                <w:sz w:val="20"/>
                <w:szCs w:val="20"/>
                <w:highlight w:val="green"/>
                <w:lang w:eastAsia="en-US"/>
              </w:rPr>
            </w:pPr>
            <w:r>
              <w:rPr>
                <w:rFonts w:eastAsia="Calibri"/>
                <w:b/>
                <w:bCs/>
                <w:sz w:val="20"/>
                <w:szCs w:val="20"/>
                <w:highlight w:val="green"/>
                <w:lang w:eastAsia="en-US"/>
              </w:rPr>
              <w:t>Agreement</w:t>
            </w:r>
          </w:p>
          <w:p>
            <w:pPr>
              <w:pStyle w:val="38"/>
              <w:widowControl w:val="0"/>
              <w:spacing w:before="120" w:after="120"/>
              <w:ind w:firstLine="0" w:firstLineChars="0"/>
              <w:rPr>
                <w:rFonts w:eastAsia="Times New Roman"/>
                <w:bCs/>
                <w:sz w:val="20"/>
                <w:lang w:eastAsia="en-US"/>
              </w:rPr>
            </w:pPr>
            <w:r>
              <w:rPr>
                <w:rFonts w:eastAsia="Times New Roman"/>
                <w:bCs/>
                <w:sz w:val="20"/>
                <w:lang w:eastAsia="en-US"/>
              </w:rPr>
              <w:t>Adaptation of an IAB-node’s multiplexing operation is supported. The adaptation may be based on multiple factors, for example (not necessary to support all of the following):</w:t>
            </w:r>
          </w:p>
          <w:p>
            <w:pPr>
              <w:pStyle w:val="38"/>
              <w:widowControl w:val="0"/>
              <w:numPr>
                <w:ilvl w:val="0"/>
                <w:numId w:val="8"/>
              </w:numPr>
              <w:spacing w:before="120" w:after="120"/>
              <w:ind w:firstLineChars="0"/>
              <w:rPr>
                <w:rFonts w:eastAsia="Times New Roman"/>
                <w:bCs/>
                <w:sz w:val="20"/>
                <w:lang w:eastAsia="en-US"/>
              </w:rPr>
            </w:pPr>
            <w:r>
              <w:rPr>
                <w:rFonts w:eastAsia="Times New Roman"/>
                <w:bCs/>
                <w:sz w:val="20"/>
                <w:lang w:eastAsia="en-US"/>
              </w:rPr>
              <w:t xml:space="preserve">Resource type (D/U/F) at the IAB-DU and IAB-MT </w:t>
            </w:r>
          </w:p>
          <w:p>
            <w:pPr>
              <w:pStyle w:val="38"/>
              <w:widowControl w:val="0"/>
              <w:numPr>
                <w:ilvl w:val="0"/>
                <w:numId w:val="8"/>
              </w:numPr>
              <w:spacing w:before="120" w:after="120"/>
              <w:ind w:firstLineChars="0"/>
              <w:rPr>
                <w:rFonts w:eastAsia="Times New Roman"/>
                <w:bCs/>
                <w:sz w:val="20"/>
                <w:lang w:eastAsia="en-US"/>
              </w:rPr>
            </w:pPr>
            <w:r>
              <w:rPr>
                <w:rFonts w:eastAsia="Times New Roman"/>
                <w:bCs/>
                <w:sz w:val="20"/>
                <w:lang w:eastAsia="en-US"/>
              </w:rPr>
              <w:t>Specific sets of time/frequency resources</w:t>
            </w:r>
          </w:p>
          <w:p>
            <w:pPr>
              <w:pStyle w:val="38"/>
              <w:widowControl w:val="0"/>
              <w:numPr>
                <w:ilvl w:val="0"/>
                <w:numId w:val="8"/>
              </w:numPr>
              <w:spacing w:before="120" w:after="120"/>
              <w:ind w:firstLineChars="0"/>
              <w:rPr>
                <w:rFonts w:eastAsia="Times New Roman"/>
                <w:bCs/>
                <w:sz w:val="20"/>
                <w:lang w:eastAsia="en-US"/>
              </w:rPr>
            </w:pPr>
            <w:r>
              <w:rPr>
                <w:rFonts w:eastAsia="Times New Roman"/>
                <w:bCs/>
                <w:sz w:val="20"/>
                <w:lang w:eastAsia="en-US"/>
              </w:rPr>
              <w:t>Certain conditions being met (e.g. supported timing modes, power control enhancements (if supported), etc.)</w:t>
            </w:r>
          </w:p>
          <w:p>
            <w:pPr>
              <w:pStyle w:val="38"/>
              <w:widowControl w:val="0"/>
              <w:spacing w:before="120" w:after="120"/>
              <w:ind w:firstLine="0" w:firstLineChars="0"/>
              <w:rPr>
                <w:rFonts w:eastAsia="Times New Roman"/>
                <w:bCs/>
                <w:sz w:val="20"/>
                <w:lang w:eastAsia="en-US"/>
              </w:rPr>
            </w:pPr>
            <w:r>
              <w:rPr>
                <w:rFonts w:eastAsia="Times New Roman"/>
                <w:bCs/>
                <w:sz w:val="20"/>
                <w:lang w:eastAsia="en-US"/>
              </w:rPr>
              <w:t>FFS:  Mechanisms for informing/coordination the change in multiplexing operation(s) between child and parent nodes (including whether the adaptation is dynamic or semi-static)</w:t>
            </w:r>
          </w:p>
          <w:p>
            <w:pPr>
              <w:pStyle w:val="38"/>
              <w:widowControl w:val="0"/>
              <w:spacing w:before="120" w:after="120"/>
              <w:ind w:firstLine="0" w:firstLineChars="0"/>
              <w:rPr>
                <w:rFonts w:eastAsia="Batang"/>
                <w:bCs/>
                <w:sz w:val="20"/>
                <w:lang w:val="en-GB" w:eastAsia="en-US"/>
              </w:rPr>
            </w:pPr>
            <w:r>
              <w:rPr>
                <w:rFonts w:eastAsia="Times New Roman"/>
                <w:bCs/>
                <w:sz w:val="20"/>
                <w:lang w:eastAsia="en-US"/>
              </w:rPr>
              <w:t>FFS: Nee</w:t>
            </w:r>
            <w:r>
              <w:rPr>
                <w:rFonts w:eastAsia="Batang"/>
                <w:bCs/>
                <w:sz w:val="20"/>
                <w:lang w:val="en-GB" w:eastAsia="en-US"/>
              </w:rPr>
              <w:t>d for explicit linkage between indicated multiplexing operations and other features/enhancements – e.g. number of required guard symbols, supported timing modes, and power control enhancements (if supported)</w:t>
            </w:r>
          </w:p>
          <w:p>
            <w:pPr>
              <w:widowControl w:val="0"/>
              <w:spacing w:before="120" w:after="120"/>
              <w:rPr>
                <w:color w:val="000000"/>
                <w:sz w:val="20"/>
              </w:rPr>
            </w:pPr>
          </w:p>
          <w:p>
            <w:pPr>
              <w:pStyle w:val="7"/>
              <w:widowControl w:val="0"/>
              <w:spacing w:before="120"/>
              <w:jc w:val="left"/>
              <w:rPr>
                <w:rFonts w:eastAsia="Times New Roman"/>
                <w:b/>
                <w:sz w:val="20"/>
                <w:highlight w:val="green"/>
              </w:rPr>
            </w:pPr>
            <w:r>
              <w:rPr>
                <w:rFonts w:eastAsia="Times New Roman"/>
                <w:b/>
                <w:sz w:val="20"/>
                <w:highlight w:val="green"/>
              </w:rPr>
              <w:t>Agreement</w:t>
            </w:r>
          </w:p>
          <w:p>
            <w:pPr>
              <w:pStyle w:val="38"/>
              <w:widowControl w:val="0"/>
              <w:spacing w:before="120" w:after="120"/>
              <w:ind w:firstLine="0" w:firstLineChars="0"/>
              <w:rPr>
                <w:sz w:val="20"/>
              </w:rPr>
            </w:pPr>
            <w:r>
              <w:rPr>
                <w:sz w:val="20"/>
              </w:rPr>
              <w:t>Soft resource availability indications for frequency-domain resources are supported</w:t>
            </w:r>
          </w:p>
          <w:p>
            <w:pPr>
              <w:pStyle w:val="38"/>
              <w:widowControl w:val="0"/>
              <w:numPr>
                <w:ilvl w:val="0"/>
                <w:numId w:val="8"/>
              </w:numPr>
              <w:spacing w:before="120" w:after="120"/>
              <w:ind w:firstLineChars="0"/>
              <w:rPr>
                <w:rFonts w:eastAsia="Times New Roman"/>
                <w:bCs/>
                <w:sz w:val="20"/>
                <w:lang w:eastAsia="en-US"/>
              </w:rPr>
            </w:pPr>
            <w:r>
              <w:rPr>
                <w:sz w:val="20"/>
              </w:rPr>
              <w:t>FF</w:t>
            </w:r>
            <w:r>
              <w:rPr>
                <w:rFonts w:eastAsia="Times New Roman"/>
                <w:bCs/>
                <w:sz w:val="20"/>
                <w:lang w:eastAsia="en-US"/>
              </w:rPr>
              <w:t>S enhancements to DCI Format 2_5</w:t>
            </w:r>
          </w:p>
          <w:p>
            <w:pPr>
              <w:pStyle w:val="38"/>
              <w:widowControl w:val="0"/>
              <w:numPr>
                <w:ilvl w:val="0"/>
                <w:numId w:val="8"/>
              </w:numPr>
              <w:spacing w:before="120" w:after="120"/>
              <w:ind w:firstLineChars="0"/>
              <w:rPr>
                <w:rFonts w:eastAsia="Times New Roman"/>
                <w:bCs/>
                <w:sz w:val="20"/>
                <w:lang w:eastAsia="en-US"/>
              </w:rPr>
            </w:pPr>
            <w:r>
              <w:rPr>
                <w:rFonts w:eastAsia="Times New Roman"/>
                <w:bCs/>
                <w:sz w:val="20"/>
                <w:lang w:eastAsia="en-US"/>
              </w:rPr>
              <w:t>FFS: Separate or joint TDM and FDM indications</w:t>
            </w:r>
          </w:p>
          <w:p>
            <w:pPr>
              <w:widowControl w:val="0"/>
              <w:spacing w:before="120" w:after="120"/>
              <w:rPr>
                <w:sz w:val="20"/>
              </w:rPr>
            </w:pPr>
          </w:p>
        </w:tc>
      </w:tr>
    </w:tbl>
    <w:p>
      <w:pPr>
        <w:spacing w:beforeLines="0" w:afterLines="0" w:line="259" w:lineRule="auto"/>
        <w:rPr>
          <w:sz w:val="20"/>
        </w:rPr>
      </w:pPr>
    </w:p>
    <w:p>
      <w:pPr>
        <w:pStyle w:val="4"/>
        <w:spacing w:after="120"/>
        <w:ind w:right="210"/>
      </w:pPr>
      <w:r>
        <w:t>Semi-static resource configuration</w:t>
      </w:r>
    </w:p>
    <w:p>
      <w:pPr>
        <w:spacing w:beforeLines="0" w:afterLines="0" w:line="259" w:lineRule="auto"/>
        <w:rPr>
          <w:bCs/>
          <w:sz w:val="20"/>
        </w:rPr>
      </w:pPr>
      <w:r>
        <w:rPr>
          <w:sz w:val="20"/>
        </w:rPr>
        <w:t xml:space="preserve">According to above agreements, it was agreed that H/S/NA resource configuration in frequency-domain within a carrier is supported. However, there are still some remaining issues to be handled, such as, </w:t>
      </w:r>
      <w:r>
        <w:rPr>
          <w:rFonts w:eastAsia="Times New Roman"/>
          <w:bCs/>
          <w:sz w:val="20"/>
          <w:lang w:eastAsia="en-US"/>
        </w:rPr>
        <w:t xml:space="preserve">minimum resource size </w:t>
      </w:r>
      <w:r>
        <w:rPr>
          <w:bCs/>
          <w:sz w:val="20"/>
        </w:rPr>
        <w:t>(</w:t>
      </w:r>
      <w:r>
        <w:rPr>
          <w:rFonts w:eastAsia="Times New Roman"/>
          <w:bCs/>
          <w:sz w:val="20"/>
          <w:lang w:eastAsia="en-US"/>
        </w:rPr>
        <w:t>e.g. N PRBs/N RBGs</w:t>
      </w:r>
      <w:r>
        <w:rPr>
          <w:bCs/>
          <w:sz w:val="20"/>
        </w:rPr>
        <w:t>), s</w:t>
      </w:r>
      <w:r>
        <w:rPr>
          <w:rFonts w:eastAsia="Times New Roman"/>
          <w:bCs/>
          <w:sz w:val="20"/>
          <w:lang w:eastAsia="en-US"/>
        </w:rPr>
        <w:t>eparate or joint TDM and FDM semi-static DU resource configurations</w:t>
      </w:r>
      <w:r>
        <w:rPr>
          <w:bCs/>
          <w:sz w:val="20"/>
        </w:rPr>
        <w:t>.</w:t>
      </w:r>
    </w:p>
    <w:p>
      <w:pPr>
        <w:spacing w:beforeLines="0" w:afterLines="0" w:line="259" w:lineRule="auto"/>
        <w:rPr>
          <w:bCs/>
          <w:sz w:val="20"/>
        </w:rPr>
      </w:pPr>
      <w:r>
        <w:rPr>
          <w:rFonts w:hint="eastAsia"/>
          <w:bCs/>
          <w:sz w:val="20"/>
        </w:rPr>
        <w:t>A</w:t>
      </w:r>
      <w:r>
        <w:rPr>
          <w:bCs/>
          <w:sz w:val="20"/>
        </w:rPr>
        <w:t xml:space="preserve">nd </w:t>
      </w:r>
      <w:r>
        <w:rPr>
          <w:rFonts w:hint="eastAsia"/>
          <w:bCs/>
          <w:sz w:val="20"/>
        </w:rPr>
        <w:t>w</w:t>
      </w:r>
      <w:r>
        <w:rPr>
          <w:bCs/>
          <w:sz w:val="20"/>
        </w:rPr>
        <w:t>e think it is not necessary to define</w:t>
      </w:r>
      <w:r>
        <w:rPr>
          <w:rFonts w:hint="eastAsia"/>
          <w:bCs/>
          <w:sz w:val="20"/>
        </w:rPr>
        <w:t>/configure</w:t>
      </w:r>
      <w:r>
        <w:rPr>
          <w:bCs/>
          <w:sz w:val="20"/>
        </w:rPr>
        <w:t xml:space="preserve"> the minimum resource size</w:t>
      </w:r>
      <w:r>
        <w:rPr>
          <w:rFonts w:hint="eastAsia"/>
          <w:bCs/>
          <w:sz w:val="20"/>
        </w:rPr>
        <w:t xml:space="preserve"> as N RBGs, t</w:t>
      </w:r>
      <w:r>
        <w:rPr>
          <w:bCs/>
          <w:sz w:val="20"/>
        </w:rPr>
        <w:t xml:space="preserve">he reasons are as follows. </w:t>
      </w:r>
      <w:r>
        <w:rPr>
          <w:rFonts w:hint="eastAsia"/>
          <w:bCs/>
          <w:sz w:val="20"/>
        </w:rPr>
        <w:t>Firstly, f</w:t>
      </w:r>
      <w:r>
        <w:rPr>
          <w:bCs/>
          <w:sz w:val="20"/>
        </w:rPr>
        <w:t>or each child MT/access UE served by IAB-DU cell, the RBG in uplink/downlink resource allocation type 0 is defined relative to Point A. the size of the RBG depends on the size of the BWP</w:t>
      </w:r>
      <w:r>
        <w:rPr>
          <w:rFonts w:hint="eastAsia"/>
          <w:bCs/>
          <w:sz w:val="20"/>
        </w:rPr>
        <w:t>, and the network provides BWP configuration per child MT or access UE</w:t>
      </w:r>
      <w:r>
        <w:rPr>
          <w:bCs/>
          <w:sz w:val="20"/>
        </w:rPr>
        <w:t xml:space="preserve">. However, RB sets (e.g. as shown in Figure 1) are defined relative to carrier frequency used in IAB-DU cell. Therefore, even if the minimum </w:t>
      </w:r>
      <w:r>
        <w:rPr>
          <w:rFonts w:hint="eastAsia"/>
          <w:bCs/>
          <w:sz w:val="20"/>
        </w:rPr>
        <w:t xml:space="preserve">resource </w:t>
      </w:r>
      <w:r>
        <w:rPr>
          <w:bCs/>
          <w:sz w:val="20"/>
        </w:rPr>
        <w:t>size is the same as RBG size or is the same as the size of a set of RBGs, it is difficult to ensure that the boundary of the RB set is aligned with the boundary of RBG or a set of RBGs for child MT or access UE frequency resource allocation</w:t>
      </w:r>
      <w:r>
        <w:rPr>
          <w:rFonts w:hint="eastAsia"/>
          <w:bCs/>
          <w:sz w:val="20"/>
        </w:rPr>
        <w:t xml:space="preserve">. Secondly, it gives more implementation flexibility to configure the granularity as N PRBs, e.g., with properly N configured, the so called </w:t>
      </w:r>
      <w:r>
        <w:rPr>
          <w:bCs/>
          <w:sz w:val="20"/>
        </w:rPr>
        <w:t>‘</w:t>
      </w:r>
      <w:r>
        <w:rPr>
          <w:rFonts w:hint="eastAsia"/>
          <w:bCs/>
          <w:sz w:val="20"/>
        </w:rPr>
        <w:t>RBG-based granularity</w:t>
      </w:r>
      <w:r>
        <w:rPr>
          <w:bCs/>
          <w:sz w:val="20"/>
        </w:rPr>
        <w:t>’</w:t>
      </w:r>
      <w:r>
        <w:rPr>
          <w:rFonts w:hint="eastAsia"/>
          <w:bCs/>
          <w:sz w:val="20"/>
        </w:rPr>
        <w:t xml:space="preserve"> can also be achieved.</w:t>
      </w:r>
    </w:p>
    <w:p>
      <w:pPr>
        <w:spacing w:beforeLines="0" w:afterLines="0" w:line="259" w:lineRule="auto"/>
        <w:rPr>
          <w:bCs/>
          <w:sz w:val="20"/>
        </w:rPr>
      </w:pPr>
      <w:r>
        <w:rPr>
          <w:rFonts w:hint="eastAsia"/>
          <w:bCs/>
          <w:sz w:val="20"/>
        </w:rPr>
        <w:t>I</w:t>
      </w:r>
      <w:r>
        <w:rPr>
          <w:bCs/>
          <w:sz w:val="20"/>
        </w:rPr>
        <w:t xml:space="preserve">n our view, H/S/NA resource type in frequency-domain can be configured per RB set in frequency-domain and per slot or </w:t>
      </w:r>
      <w:r>
        <w:rPr>
          <w:rFonts w:hint="eastAsia"/>
          <w:bCs/>
          <w:sz w:val="20"/>
        </w:rPr>
        <w:t xml:space="preserve">per slot </w:t>
      </w:r>
      <w:r>
        <w:rPr>
          <w:bCs/>
          <w:sz w:val="20"/>
        </w:rPr>
        <w:t>per resource type in time-domain</w:t>
      </w:r>
      <w:r>
        <w:rPr>
          <w:rFonts w:hint="eastAsia"/>
          <w:bCs/>
          <w:sz w:val="20"/>
        </w:rPr>
        <w:t xml:space="preserve">. E.g., for </w:t>
      </w:r>
      <w:r>
        <w:rPr>
          <w:bCs/>
          <w:sz w:val="20"/>
        </w:rPr>
        <w:t>each RB set can be indicated by the starting PRB and the number of consecutive PRBs within a carrier (e.g. indicated by RIV). Further discussion can be made to determine the details about the configuration of RB sets, e.g.</w:t>
      </w:r>
      <w:r>
        <w:rPr>
          <w:rFonts w:hint="eastAsia"/>
          <w:bCs/>
          <w:sz w:val="20"/>
        </w:rPr>
        <w:t>,</w:t>
      </w:r>
      <w:r>
        <w:rPr>
          <w:bCs/>
          <w:sz w:val="20"/>
        </w:rPr>
        <w:t xml:space="preserve"> the max</w:t>
      </w:r>
      <w:r>
        <w:rPr>
          <w:rFonts w:hint="eastAsia"/>
          <w:bCs/>
          <w:sz w:val="20"/>
        </w:rPr>
        <w:t>i</w:t>
      </w:r>
      <w:r>
        <w:rPr>
          <w:bCs/>
          <w:sz w:val="20"/>
        </w:rPr>
        <w:t>mum number of RB sets, reference carrier based on which RB sets are defined.</w:t>
      </w:r>
    </w:p>
    <w:p>
      <w:pPr>
        <w:pStyle w:val="23"/>
        <w:spacing w:before="120" w:after="120"/>
        <w:rPr>
          <w:lang w:val="en-US" w:eastAsia="zh-CN"/>
        </w:rPr>
      </w:pPr>
      <w:bookmarkStart w:id="0" w:name="_Toc26122"/>
      <w:bookmarkStart w:id="1" w:name="_Toc2780"/>
      <w:r>
        <w:rPr>
          <w:rFonts w:hint="eastAsia"/>
          <w:lang w:val="en-US" w:eastAsia="zh-CN"/>
        </w:rPr>
        <w:t xml:space="preserve">If </w:t>
      </w:r>
      <w:r>
        <w:rPr>
          <w:lang w:val="en-US" w:eastAsia="zh-CN"/>
        </w:rPr>
        <w:t xml:space="preserve">the </w:t>
      </w:r>
      <w:r>
        <w:rPr>
          <w:rFonts w:hint="eastAsia"/>
          <w:lang w:val="en-US" w:eastAsia="zh-CN"/>
        </w:rPr>
        <w:t xml:space="preserve">frequency domain </w:t>
      </w:r>
      <w:r>
        <w:rPr>
          <w:lang w:val="en-US" w:eastAsia="zh-CN"/>
        </w:rPr>
        <w:t>granularity</w:t>
      </w:r>
      <w:r>
        <w:rPr>
          <w:rFonts w:hint="eastAsia"/>
          <w:lang w:val="en-US" w:eastAsia="zh-CN"/>
        </w:rPr>
        <w:t xml:space="preserve"> of one RB set were defined as N RBGs</w:t>
      </w:r>
      <w:r>
        <w:rPr>
          <w:lang w:val="en-US" w:eastAsia="zh-CN"/>
        </w:rPr>
        <w:t>, it is difficult to ensure that the boundary of the RB set is aligned with the boundary of RBG or a set of RBG for child MT or access UE frequency resource allocation.</w:t>
      </w:r>
      <w:bookmarkEnd w:id="0"/>
      <w:bookmarkEnd w:id="1"/>
      <w:r>
        <w:rPr>
          <w:lang w:val="en-US" w:eastAsia="zh-CN"/>
        </w:rPr>
        <w:t xml:space="preserve">  </w:t>
      </w:r>
    </w:p>
    <w:p>
      <w:pPr>
        <w:pStyle w:val="24"/>
        <w:spacing w:before="120" w:after="120"/>
        <w:rPr>
          <w:lang w:val="en-US" w:eastAsia="zh-CN"/>
        </w:rPr>
      </w:pPr>
      <w:bookmarkStart w:id="2" w:name="_Toc384"/>
      <w:bookmarkStart w:id="3" w:name="_Toc68678816"/>
      <w:bookmarkStart w:id="4" w:name="_Toc8469"/>
      <w:bookmarkStart w:id="5" w:name="_Toc9005"/>
      <w:bookmarkStart w:id="6" w:name="_Toc2238"/>
      <w:r>
        <w:t xml:space="preserve"> </w:t>
      </w:r>
      <w:bookmarkStart w:id="7" w:name="_Toc8842"/>
      <w:bookmarkStart w:id="8" w:name="_Toc55"/>
      <w:bookmarkStart w:id="9" w:name="_Toc4076"/>
      <w:r>
        <w:t xml:space="preserve">H/S/NA in frequency-domain </w:t>
      </w:r>
      <w:r>
        <w:rPr>
          <w:rFonts w:hint="eastAsia"/>
          <w:lang w:val="en-US" w:eastAsia="zh-CN"/>
        </w:rPr>
        <w:t>should</w:t>
      </w:r>
      <w:r>
        <w:t xml:space="preserve"> be configured per RB set</w:t>
      </w:r>
      <w:r>
        <w:rPr>
          <w:rFonts w:hint="eastAsia"/>
          <w:lang w:val="en-US" w:eastAsia="zh-CN"/>
        </w:rPr>
        <w:t>, t</w:t>
      </w:r>
      <w:r>
        <w:rPr>
          <w:lang w:val="en-US" w:eastAsia="zh-CN"/>
        </w:rPr>
        <w:t xml:space="preserve">he </w:t>
      </w:r>
      <w:r>
        <w:rPr>
          <w:rFonts w:hint="eastAsia"/>
          <w:lang w:val="en-US" w:eastAsia="zh-CN"/>
        </w:rPr>
        <w:t xml:space="preserve">frequency domain </w:t>
      </w:r>
      <w:r>
        <w:rPr>
          <w:lang w:val="en-US" w:eastAsia="zh-CN"/>
        </w:rPr>
        <w:t>granularity</w:t>
      </w:r>
      <w:r>
        <w:rPr>
          <w:rFonts w:hint="eastAsia"/>
          <w:lang w:val="en-US" w:eastAsia="zh-CN"/>
        </w:rPr>
        <w:t xml:space="preserve"> of a</w:t>
      </w:r>
      <w:r>
        <w:rPr>
          <w:lang w:val="en-US" w:eastAsia="zh-CN"/>
        </w:rPr>
        <w:t xml:space="preserve">n RB set </w:t>
      </w:r>
      <w:r>
        <w:rPr>
          <w:rFonts w:hint="eastAsia"/>
          <w:lang w:val="en-US" w:eastAsia="zh-CN"/>
        </w:rPr>
        <w:t>is configured as N PRBs</w:t>
      </w:r>
      <w:r>
        <w:rPr>
          <w:lang w:val="en-US" w:eastAsia="zh-CN"/>
        </w:rPr>
        <w:t>.</w:t>
      </w:r>
      <w:bookmarkEnd w:id="2"/>
      <w:bookmarkEnd w:id="3"/>
      <w:bookmarkEnd w:id="4"/>
      <w:bookmarkEnd w:id="5"/>
      <w:bookmarkEnd w:id="6"/>
      <w:bookmarkEnd w:id="7"/>
      <w:bookmarkEnd w:id="8"/>
      <w:bookmarkEnd w:id="9"/>
    </w:p>
    <w:p>
      <w:pPr>
        <w:spacing w:beforeLines="0" w:afterLines="0" w:line="259" w:lineRule="auto"/>
        <w:rPr>
          <w:sz w:val="20"/>
        </w:rPr>
      </w:pPr>
      <w:r>
        <w:rPr>
          <w:rFonts w:hint="eastAsia"/>
          <w:sz w:val="20"/>
        </w:rPr>
        <w:t xml:space="preserve">In our view, the description of </w:t>
      </w:r>
      <w:r>
        <w:rPr>
          <w:sz w:val="20"/>
        </w:rPr>
        <w:t>“</w:t>
      </w:r>
      <w:r>
        <w:rPr>
          <w:rFonts w:hint="eastAsia"/>
          <w:sz w:val="20"/>
        </w:rPr>
        <w:t xml:space="preserve">FFS: </w:t>
      </w:r>
      <w:r>
        <w:rPr>
          <w:sz w:val="20"/>
        </w:rPr>
        <w:t>s</w:t>
      </w:r>
      <w:r>
        <w:rPr>
          <w:rFonts w:eastAsia="Times New Roman"/>
          <w:bCs/>
          <w:sz w:val="20"/>
          <w:lang w:eastAsia="en-US"/>
        </w:rPr>
        <w:t xml:space="preserve">eparate </w:t>
      </w:r>
      <w:r>
        <w:rPr>
          <w:rFonts w:hint="eastAsia"/>
          <w:bCs/>
          <w:sz w:val="20"/>
        </w:rPr>
        <w:t xml:space="preserve">or join </w:t>
      </w:r>
      <w:r>
        <w:rPr>
          <w:rFonts w:eastAsia="Times New Roman"/>
          <w:bCs/>
          <w:sz w:val="20"/>
          <w:lang w:eastAsia="en-US"/>
        </w:rPr>
        <w:t>TDM and FDM semi-static DU resource configurations</w:t>
      </w:r>
      <w:r>
        <w:rPr>
          <w:bCs/>
          <w:sz w:val="20"/>
        </w:rPr>
        <w:t>”</w:t>
      </w:r>
      <w:r>
        <w:rPr>
          <w:rFonts w:hint="eastAsia"/>
          <w:bCs/>
          <w:sz w:val="20"/>
        </w:rPr>
        <w:t xml:space="preserve"> is not clear. One understanding is that TDM </w:t>
      </w:r>
      <w:r>
        <w:rPr>
          <w:rFonts w:eastAsia="Times New Roman"/>
          <w:bCs/>
          <w:sz w:val="20"/>
          <w:lang w:eastAsia="en-US"/>
        </w:rPr>
        <w:t>and FDM semi-static DU resource configurations</w:t>
      </w:r>
      <w:r>
        <w:rPr>
          <w:rFonts w:hint="eastAsia"/>
          <w:bCs/>
          <w:sz w:val="20"/>
        </w:rPr>
        <w:t xml:space="preserve"> are </w:t>
      </w:r>
      <w:r>
        <w:rPr>
          <w:sz w:val="20"/>
        </w:rPr>
        <w:t>s</w:t>
      </w:r>
      <w:r>
        <w:rPr>
          <w:rFonts w:eastAsia="Times New Roman"/>
          <w:bCs/>
          <w:sz w:val="20"/>
          <w:lang w:eastAsia="en-US"/>
        </w:rPr>
        <w:t xml:space="preserve">eparate </w:t>
      </w:r>
      <w:r>
        <w:rPr>
          <w:rFonts w:hint="eastAsia"/>
          <w:bCs/>
          <w:sz w:val="20"/>
        </w:rPr>
        <w:t xml:space="preserve">or join at the signaling level, and the other is that TDM </w:t>
      </w:r>
      <w:r>
        <w:rPr>
          <w:rFonts w:eastAsia="Times New Roman"/>
          <w:bCs/>
          <w:sz w:val="20"/>
          <w:lang w:eastAsia="en-US"/>
        </w:rPr>
        <w:t>and FDM semi-static DU resource configurations</w:t>
      </w:r>
      <w:r>
        <w:rPr>
          <w:rFonts w:hint="eastAsia"/>
          <w:bCs/>
          <w:sz w:val="20"/>
        </w:rPr>
        <w:t xml:space="preserve"> are </w:t>
      </w:r>
      <w:r>
        <w:rPr>
          <w:sz w:val="20"/>
        </w:rPr>
        <w:t>s</w:t>
      </w:r>
      <w:r>
        <w:rPr>
          <w:rFonts w:eastAsia="Times New Roman"/>
          <w:bCs/>
          <w:sz w:val="20"/>
          <w:lang w:eastAsia="en-US"/>
        </w:rPr>
        <w:t xml:space="preserve">eparate </w:t>
      </w:r>
      <w:r>
        <w:rPr>
          <w:rFonts w:hint="eastAsia"/>
          <w:bCs/>
          <w:sz w:val="20"/>
        </w:rPr>
        <w:t>or join at the resource level. In our view, the design of signaling level should be completed by RAN3, and the design of resource level should be completed by RAN1. For the design of resource level, there are tw</w:t>
      </w:r>
      <w:r>
        <w:rPr>
          <w:bCs/>
          <w:sz w:val="20"/>
        </w:rPr>
        <w:t xml:space="preserve">o options </w:t>
      </w:r>
      <w:r>
        <w:rPr>
          <w:rFonts w:hint="eastAsia"/>
          <w:bCs/>
          <w:sz w:val="20"/>
        </w:rPr>
        <w:t>as shown in Figure 1</w:t>
      </w:r>
      <w:r>
        <w:rPr>
          <w:bCs/>
          <w:sz w:val="20"/>
        </w:rPr>
        <w:t>:</w:t>
      </w:r>
    </w:p>
    <w:p>
      <w:pPr>
        <w:numPr>
          <w:ilvl w:val="0"/>
          <w:numId w:val="9"/>
        </w:numPr>
        <w:spacing w:beforeLines="0" w:afterLines="0" w:line="259" w:lineRule="auto"/>
        <w:rPr>
          <w:sz w:val="20"/>
        </w:rPr>
      </w:pPr>
      <w:r>
        <w:rPr>
          <w:sz w:val="20"/>
        </w:rPr>
        <w:t>Option 1 (joint): For a given symbol/slot of a IAB DU cell, IAB node is provided with either time-domain H/S/NA configuration or frequency-domain H/S/NA configuration, e.g., TDM and FDM resources could be orthogonal</w:t>
      </w:r>
      <w:r>
        <w:rPr>
          <w:rFonts w:hint="eastAsia"/>
          <w:sz w:val="20"/>
        </w:rPr>
        <w:t xml:space="preserve">ly </w:t>
      </w:r>
      <w:r>
        <w:rPr>
          <w:sz w:val="20"/>
        </w:rPr>
        <w:t>configured per slot(per resource type) basis.</w:t>
      </w:r>
    </w:p>
    <w:p>
      <w:pPr>
        <w:numPr>
          <w:ilvl w:val="0"/>
          <w:numId w:val="9"/>
        </w:numPr>
        <w:spacing w:beforeLines="0" w:afterLines="0" w:line="259" w:lineRule="auto"/>
        <w:rPr>
          <w:sz w:val="20"/>
        </w:rPr>
      </w:pPr>
      <w:r>
        <w:rPr>
          <w:sz w:val="20"/>
        </w:rPr>
        <w:t>Option 2 (separate): For a given symbol/slot of an IAB DU cell, IAB node can be provided with both time-domain and frequency domain H/S/NA configurations. I.e. one symbol/slot corresponds to two H/S/NA configurations.</w:t>
      </w:r>
    </w:p>
    <w:p>
      <w:pPr>
        <w:spacing w:beforeLines="0" w:afterLines="0" w:line="259" w:lineRule="auto"/>
        <w:jc w:val="center"/>
        <w:rPr>
          <w:sz w:val="20"/>
        </w:rPr>
      </w:pPr>
    </w:p>
    <w:p>
      <w:pPr>
        <w:spacing w:beforeLines="0" w:afterLines="0" w:line="259" w:lineRule="auto"/>
        <w:jc w:val="center"/>
        <w:rPr>
          <w:b/>
          <w:bCs/>
          <w:sz w:val="20"/>
        </w:rPr>
      </w:pPr>
      <w:r>
        <w:drawing>
          <wp:inline distT="0" distB="0" distL="114300" distR="114300">
            <wp:extent cx="6124575" cy="2189480"/>
            <wp:effectExtent l="0" t="0" r="952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6124575" cy="2189480"/>
                    </a:xfrm>
                    <a:prstGeom prst="rect">
                      <a:avLst/>
                    </a:prstGeom>
                    <a:noFill/>
                    <a:ln>
                      <a:noFill/>
                    </a:ln>
                  </pic:spPr>
                </pic:pic>
              </a:graphicData>
            </a:graphic>
          </wp:inline>
        </w:drawing>
      </w:r>
    </w:p>
    <w:p>
      <w:pPr>
        <w:spacing w:beforeLines="0" w:afterLines="0" w:line="259" w:lineRule="auto"/>
        <w:jc w:val="center"/>
        <w:rPr>
          <w:b/>
          <w:bCs/>
          <w:sz w:val="20"/>
        </w:rPr>
      </w:pPr>
      <w:r>
        <w:rPr>
          <w:rFonts w:hint="eastAsia"/>
          <w:b/>
          <w:bCs/>
          <w:sz w:val="20"/>
        </w:rPr>
        <w:t>Figure 1: Example of separate or join TDM and FDM semi-static DU resource configurations</w:t>
      </w:r>
    </w:p>
    <w:p>
      <w:pPr>
        <w:spacing w:beforeLines="0" w:afterLines="0" w:line="259" w:lineRule="auto"/>
        <w:rPr>
          <w:sz w:val="20"/>
        </w:rPr>
      </w:pPr>
      <w:r>
        <w:rPr>
          <w:sz w:val="20"/>
        </w:rPr>
        <w:t xml:space="preserve">For option 1, one symbol/slot corresponds to </w:t>
      </w:r>
      <w:r>
        <w:rPr>
          <w:rFonts w:hint="eastAsia"/>
          <w:sz w:val="20"/>
        </w:rPr>
        <w:t xml:space="preserve">only one type of </w:t>
      </w:r>
      <w:r>
        <w:rPr>
          <w:sz w:val="20"/>
        </w:rPr>
        <w:t>H/S/NA configuration</w:t>
      </w:r>
      <w:r>
        <w:rPr>
          <w:rFonts w:hint="eastAsia"/>
          <w:sz w:val="20"/>
        </w:rPr>
        <w:t>, i.e., either frequency domain or time domain</w:t>
      </w:r>
      <w:r>
        <w:rPr>
          <w:sz w:val="20"/>
        </w:rPr>
        <w:t xml:space="preserve">. </w:t>
      </w:r>
      <w:r>
        <w:rPr>
          <w:rFonts w:hint="eastAsia"/>
          <w:sz w:val="20"/>
        </w:rPr>
        <w:t>T</w:t>
      </w:r>
      <w:r>
        <w:rPr>
          <w:sz w:val="20"/>
        </w:rPr>
        <w:t>herefore, IAB node and its parent node as well as the CU can have a consistent understanding on the used IAB-DU resource configurations.</w:t>
      </w:r>
    </w:p>
    <w:p>
      <w:pPr>
        <w:spacing w:beforeLines="0" w:afterLines="0" w:line="259" w:lineRule="auto"/>
        <w:rPr>
          <w:sz w:val="20"/>
        </w:rPr>
      </w:pPr>
      <w:r>
        <w:rPr>
          <w:sz w:val="20"/>
        </w:rPr>
        <w:t xml:space="preserve">For option 2, IAB node </w:t>
      </w:r>
      <w:r>
        <w:rPr>
          <w:rFonts w:hint="eastAsia"/>
          <w:sz w:val="20"/>
        </w:rPr>
        <w:t>may</w:t>
      </w:r>
      <w:r>
        <w:rPr>
          <w:sz w:val="20"/>
        </w:rPr>
        <w:t xml:space="preserve"> determine to use one of the configurations dynamically, in this case, it may </w:t>
      </w:r>
      <w:r>
        <w:rPr>
          <w:rFonts w:hint="eastAsia"/>
          <w:sz w:val="20"/>
        </w:rPr>
        <w:t xml:space="preserve">aggravate interference and resource collision, and may </w:t>
      </w:r>
      <w:r>
        <w:rPr>
          <w:sz w:val="20"/>
        </w:rPr>
        <w:t>cause different understanding on the used IAB-DU resource configurations among IAB node, its parent node and CU.</w:t>
      </w:r>
      <w:r>
        <w:rPr>
          <w:rFonts w:hint="eastAsia"/>
          <w:sz w:val="20"/>
        </w:rPr>
        <w:t xml:space="preserve"> For example, as shown in Figure 1, RB set 2 in slot 1 is configured as NA</w:t>
      </w:r>
      <w:r>
        <w:rPr>
          <w:sz w:val="20"/>
        </w:rPr>
        <w:t xml:space="preserve"> </w:t>
      </w:r>
      <w:r>
        <w:rPr>
          <w:rFonts w:hint="eastAsia"/>
          <w:sz w:val="20"/>
        </w:rPr>
        <w:t xml:space="preserve">in </w:t>
      </w:r>
      <w:r>
        <w:rPr>
          <w:sz w:val="20"/>
        </w:rPr>
        <w:t>time-domain H/S/NA configuration</w:t>
      </w:r>
      <w:r>
        <w:rPr>
          <w:rFonts w:hint="eastAsia"/>
          <w:sz w:val="20"/>
        </w:rPr>
        <w:t xml:space="preserve"> and is configured as H in</w:t>
      </w:r>
      <w:r>
        <w:rPr>
          <w:sz w:val="20"/>
        </w:rPr>
        <w:t xml:space="preserve"> frequency-domain H/S/NA configuration</w:t>
      </w:r>
      <w:r>
        <w:rPr>
          <w:rFonts w:hint="eastAsia"/>
          <w:sz w:val="20"/>
        </w:rPr>
        <w:t>, CU or even parent node cannot dynamically know which H/S/NA configuration is selected by IAB-DU. Then, CU or even parent node also cannot know whether the IAB-DU can use RB set 2 in slot 1. In other words, the CU or even parent node loses the control of whether IAB-DU uses RB set 2 in slot 1 or not, which will lead to interference deterioration and resource utilization conflict.</w:t>
      </w:r>
    </w:p>
    <w:p>
      <w:pPr>
        <w:pStyle w:val="23"/>
        <w:spacing w:before="120" w:after="120"/>
        <w:jc w:val="both"/>
        <w:rPr>
          <w:lang w:val="en-US" w:eastAsia="zh-CN"/>
        </w:rPr>
      </w:pPr>
      <w:bookmarkStart w:id="10" w:name="_Toc1323"/>
      <w:bookmarkStart w:id="11" w:name="_Toc13411"/>
      <w:r>
        <w:rPr>
          <w:rFonts w:hint="eastAsia"/>
          <w:lang w:val="en-US" w:eastAsia="zh-CN"/>
        </w:rPr>
        <w:t>It may aggravate interference and resource collision if a given symbol/slot were configured with both time-domain and frequency-domain H/S/NA configuration</w:t>
      </w:r>
      <w:r>
        <w:rPr>
          <w:lang w:val="en-US" w:eastAsia="zh-CN"/>
        </w:rPr>
        <w:t>s</w:t>
      </w:r>
      <w:r>
        <w:rPr>
          <w:rFonts w:hint="eastAsia"/>
          <w:lang w:val="en-US" w:eastAsia="zh-CN"/>
        </w:rPr>
        <w:t>.</w:t>
      </w:r>
      <w:bookmarkEnd w:id="10"/>
      <w:bookmarkEnd w:id="11"/>
    </w:p>
    <w:p>
      <w:pPr>
        <w:pStyle w:val="24"/>
        <w:spacing w:before="120" w:after="120"/>
        <w:jc w:val="both"/>
        <w:rPr>
          <w:lang w:val="en-US" w:eastAsia="zh-CN"/>
        </w:rPr>
      </w:pPr>
      <w:bookmarkStart w:id="12" w:name="_Toc258"/>
      <w:bookmarkStart w:id="13" w:name="_Toc68678817"/>
      <w:bookmarkStart w:id="14" w:name="_Toc10116"/>
      <w:bookmarkStart w:id="15" w:name="_Toc13079"/>
      <w:bookmarkStart w:id="16" w:name="_Toc13621"/>
      <w:bookmarkStart w:id="17" w:name="_Toc30323"/>
      <w:bookmarkStart w:id="18" w:name="_Toc6940"/>
      <w:bookmarkStart w:id="19" w:name="_Toc27561"/>
      <w:r>
        <w:t>For a given symbol/slot of an IAB DU cell, IAB</w:t>
      </w:r>
      <w:r>
        <w:rPr>
          <w:lang w:val="en-US" w:eastAsia="zh-CN"/>
        </w:rPr>
        <w:t xml:space="preserve"> node can be</w:t>
      </w:r>
      <w:r>
        <w:t xml:space="preserve"> provided with either time-domain H/S/NA configuration or frequency</w:t>
      </w:r>
      <w:r>
        <w:rPr>
          <w:lang w:val="en-US" w:eastAsia="zh-CN"/>
        </w:rPr>
        <w:t>-</w:t>
      </w:r>
      <w:r>
        <w:t>domain H/S/NA</w:t>
      </w:r>
      <w:r>
        <w:rPr>
          <w:lang w:val="en-US" w:eastAsia="zh-CN"/>
        </w:rPr>
        <w:t xml:space="preserve"> </w:t>
      </w:r>
      <w:r>
        <w:t>configuration</w:t>
      </w:r>
      <w:r>
        <w:rPr>
          <w:lang w:val="en-US" w:eastAsia="zh-CN"/>
        </w:rPr>
        <w:t>.</w:t>
      </w:r>
      <w:bookmarkEnd w:id="12"/>
      <w:bookmarkEnd w:id="13"/>
      <w:bookmarkEnd w:id="14"/>
      <w:bookmarkEnd w:id="15"/>
      <w:bookmarkEnd w:id="16"/>
      <w:bookmarkEnd w:id="17"/>
      <w:bookmarkEnd w:id="18"/>
      <w:r>
        <w:rPr>
          <w:lang w:val="en-US" w:eastAsia="zh-CN"/>
        </w:rPr>
        <w:t xml:space="preserve"> </w:t>
      </w:r>
      <w:bookmarkEnd w:id="19"/>
    </w:p>
    <w:p>
      <w:pPr>
        <w:spacing w:beforeLines="0" w:afterLines="0" w:line="259" w:lineRule="auto"/>
        <w:rPr>
          <w:sz w:val="20"/>
        </w:rPr>
      </w:pPr>
      <w:bookmarkStart w:id="20" w:name="_Toc30460"/>
      <w:r>
        <w:rPr>
          <w:rFonts w:hint="eastAsia"/>
          <w:sz w:val="20"/>
        </w:rPr>
        <w:t>In Rel-16 IAB, an IAB node has the ability to be made aware of the semi-static DU resource configuration (D/U/F/H/S/NA) of all its child IAB nodes. Similarly, it is reasonable that parent node can be made aware of IAB-DU cell H/S/NA resource configuration in frequency-domain to have a good understanding of H/S/NA resource type of an IAB-DU cell and then make appropriated assumption about the resource availability at IAB-MT.</w:t>
      </w:r>
      <w:bookmarkEnd w:id="20"/>
    </w:p>
    <w:p>
      <w:pPr>
        <w:pStyle w:val="24"/>
        <w:spacing w:before="120" w:after="120"/>
        <w:jc w:val="both"/>
        <w:rPr>
          <w:lang w:val="en-US" w:eastAsia="zh-CN"/>
        </w:rPr>
      </w:pPr>
      <w:bookmarkStart w:id="21" w:name="_Toc20177"/>
      <w:bookmarkStart w:id="22" w:name="_Toc3633"/>
      <w:bookmarkStart w:id="23" w:name="_Toc7762"/>
      <w:r>
        <w:rPr>
          <w:rFonts w:hint="eastAsia"/>
          <w:lang w:val="en-US" w:eastAsia="zh-CN"/>
        </w:rPr>
        <w:t>The IAB node is aware of the H/S/NA resource configuration in frequency-domain of its child IAB DU.</w:t>
      </w:r>
      <w:bookmarkEnd w:id="21"/>
      <w:bookmarkEnd w:id="22"/>
      <w:bookmarkEnd w:id="23"/>
    </w:p>
    <w:p>
      <w:pPr>
        <w:pStyle w:val="4"/>
        <w:spacing w:after="120"/>
        <w:ind w:right="210"/>
      </w:pPr>
      <w:r>
        <w:t>Dynamic availability indication</w:t>
      </w:r>
    </w:p>
    <w:p>
      <w:pPr>
        <w:spacing w:beforeLines="0" w:afterLines="0" w:line="259" w:lineRule="auto"/>
        <w:rPr>
          <w:sz w:val="20"/>
        </w:rPr>
      </w:pPr>
      <w:r>
        <w:rPr>
          <w:rFonts w:hint="eastAsia"/>
          <w:sz w:val="20"/>
        </w:rPr>
        <w:t xml:space="preserve">The benefit of introducing a new DCI format </w:t>
      </w:r>
      <w:r>
        <w:rPr>
          <w:sz w:val="20"/>
        </w:rPr>
        <w:t>had not been justified</w:t>
      </w:r>
      <w:r>
        <w:rPr>
          <w:rFonts w:hint="eastAsia"/>
          <w:sz w:val="20"/>
        </w:rPr>
        <w:t>, b</w:t>
      </w:r>
      <w:r>
        <w:rPr>
          <w:sz w:val="20"/>
        </w:rPr>
        <w:t xml:space="preserve">ut </w:t>
      </w:r>
      <w:r>
        <w:rPr>
          <w:rFonts w:hint="eastAsia"/>
          <w:sz w:val="20"/>
        </w:rPr>
        <w:t xml:space="preserve">it is foreseeable that its support will lead to more </w:t>
      </w:r>
      <w:r>
        <w:rPr>
          <w:sz w:val="20"/>
        </w:rPr>
        <w:t>normative work</w:t>
      </w:r>
      <w:r>
        <w:rPr>
          <w:rFonts w:hint="eastAsia"/>
          <w:sz w:val="20"/>
        </w:rPr>
        <w:t>, e.g. configure new RNTI, new search space set etc. Since DCI format 2_5 in Rel-16 can be seen as availability indication of soft resources per carrier (i.e. carrier level). After introducing RB sets, it is a good way to extend the DCI format 2_5 from per carrier to per RB set (i.e. RB set level). Therefore, it is not necessary to introduce the new DCI format to indicate availability of soft resources at RB set level.</w:t>
      </w:r>
    </w:p>
    <w:p>
      <w:pPr>
        <w:pStyle w:val="23"/>
        <w:spacing w:before="120" w:after="120"/>
        <w:rPr>
          <w:lang w:val="en-US" w:eastAsia="zh-CN"/>
        </w:rPr>
      </w:pPr>
      <w:bookmarkStart w:id="24" w:name="_Toc14443"/>
      <w:bookmarkStart w:id="25" w:name="_Toc32571"/>
      <w:r>
        <w:rPr>
          <w:rFonts w:hint="eastAsia"/>
          <w:lang w:val="en-US" w:eastAsia="zh-CN"/>
        </w:rPr>
        <w:t>There is no need to introduce a new DCI format to indicate the availability of soft resources at RB set level.</w:t>
      </w:r>
      <w:bookmarkEnd w:id="24"/>
      <w:bookmarkEnd w:id="25"/>
    </w:p>
    <w:p>
      <w:pPr>
        <w:spacing w:beforeLines="0" w:afterLines="0" w:line="259" w:lineRule="auto"/>
        <w:rPr>
          <w:sz w:val="20"/>
        </w:rPr>
      </w:pPr>
      <w:r>
        <w:rPr>
          <w:rFonts w:hint="eastAsia"/>
          <w:sz w:val="20"/>
        </w:rPr>
        <w:t>In Rel-16 IAB, f</w:t>
      </w:r>
      <w:r>
        <w:t>or an IAB-DU</w:t>
      </w:r>
      <w:r>
        <w:rPr>
          <w:rFonts w:hint="eastAsia"/>
        </w:rPr>
        <w:t xml:space="preserve"> cell, a</w:t>
      </w:r>
      <w:r>
        <w:rPr>
          <w:rFonts w:hint="eastAsia"/>
          <w:sz w:val="20"/>
        </w:rPr>
        <w:t xml:space="preserve"> set of </w:t>
      </w:r>
      <w:r>
        <w:rPr>
          <w:sz w:val="20"/>
        </w:rPr>
        <w:t>availability combinations</w:t>
      </w:r>
      <w:r>
        <w:rPr>
          <w:rFonts w:hint="eastAsia"/>
          <w:sz w:val="20"/>
        </w:rPr>
        <w:t xml:space="preserve"> (i.e. </w:t>
      </w:r>
      <w:r>
        <w:t>availability combination</w:t>
      </w:r>
      <w:r>
        <w:rPr>
          <w:rFonts w:hint="eastAsia"/>
        </w:rPr>
        <w:t xml:space="preserve"> table</w:t>
      </w:r>
      <w:r>
        <w:rPr>
          <w:rFonts w:hint="eastAsia"/>
          <w:sz w:val="20"/>
        </w:rPr>
        <w:t xml:space="preserve">) are provided by RRC signaling, and one </w:t>
      </w:r>
      <w:r>
        <w:rPr>
          <w:sz w:val="20"/>
        </w:rPr>
        <w:t>availability combination</w:t>
      </w:r>
      <w:r>
        <w:rPr>
          <w:rFonts w:hint="eastAsia"/>
          <w:sz w:val="20"/>
        </w:rPr>
        <w:t xml:space="preserve"> are indicated by DCI format 2_5 to indicate the availability of soft resources at carrier level in one or more slots. Availability indication of soft resources at RB set level in Rel-17 IAB can be achieved by enhancing availability combination table and/or DCI format 2_5.</w:t>
      </w:r>
    </w:p>
    <w:p>
      <w:pPr>
        <w:pStyle w:val="23"/>
        <w:spacing w:before="120" w:after="120"/>
        <w:rPr>
          <w:lang w:val="en-US" w:eastAsia="zh-CN"/>
        </w:rPr>
      </w:pPr>
      <w:bookmarkStart w:id="26" w:name="_Toc7157"/>
      <w:bookmarkStart w:id="27" w:name="_Toc16798"/>
      <w:r>
        <w:rPr>
          <w:rFonts w:hint="eastAsia"/>
          <w:lang w:val="en-US" w:eastAsia="zh-CN"/>
        </w:rPr>
        <w:t>Availability indication of soft resources at RB set level in Rel-17 IAB can be achieved by enhancing availability combination table and/or DCI format 2_5</w:t>
      </w:r>
      <w:r>
        <w:rPr>
          <w:lang w:val="en-US" w:eastAsia="zh-CN"/>
        </w:rPr>
        <w:t>.</w:t>
      </w:r>
      <w:bookmarkEnd w:id="26"/>
      <w:bookmarkEnd w:id="27"/>
      <w:r>
        <w:rPr>
          <w:lang w:val="en-US" w:eastAsia="zh-CN"/>
        </w:rPr>
        <w:t xml:space="preserve">  </w:t>
      </w:r>
    </w:p>
    <w:p>
      <w:pPr>
        <w:spacing w:beforeLines="0" w:afterLines="0" w:line="259" w:lineRule="auto"/>
        <w:rPr>
          <w:sz w:val="20"/>
        </w:rPr>
      </w:pPr>
      <w:r>
        <w:rPr>
          <w:rFonts w:hint="eastAsia"/>
          <w:sz w:val="20"/>
        </w:rPr>
        <w:t>Rel-17 IAB can reuse Rel-16 availability combination table or configure new availability combination table(s) to support availability indication of soft resources at RB set level. Additionally, to achieve backward compatibility, Rel-17 IAB should also support the use of independent availability combination index field in DCI format 2_5 to indicate availability of soft resources at RB set level.</w:t>
      </w:r>
    </w:p>
    <w:p>
      <w:pPr>
        <w:pStyle w:val="24"/>
        <w:spacing w:before="120" w:after="120"/>
        <w:rPr>
          <w:lang w:val="en-US"/>
        </w:rPr>
      </w:pPr>
      <w:bookmarkStart w:id="28" w:name="_Toc30354"/>
      <w:bookmarkStart w:id="29" w:name="_Toc15965"/>
      <w:bookmarkStart w:id="30" w:name="_Toc13188"/>
      <w:bookmarkStart w:id="31" w:name="_Toc19338"/>
      <w:r>
        <w:rPr>
          <w:rFonts w:hint="eastAsia"/>
          <w:lang w:val="en-US" w:eastAsia="zh-CN"/>
        </w:rPr>
        <w:t>Rel-17 IAB can reuse Rel-16 availability combination table or configure new availability combination table(s) to support availability indication of soft resources at RB set level</w:t>
      </w:r>
      <w:bookmarkStart w:id="32" w:name="_Toc68678820"/>
      <w:bookmarkStart w:id="33" w:name="_Toc15874"/>
      <w:bookmarkStart w:id="34" w:name="_Toc429"/>
      <w:bookmarkStart w:id="35" w:name="_Toc23834"/>
      <w:r>
        <w:rPr>
          <w:lang w:val="en-US"/>
        </w:rPr>
        <w:t>.</w:t>
      </w:r>
      <w:bookmarkEnd w:id="28"/>
      <w:bookmarkEnd w:id="29"/>
      <w:bookmarkEnd w:id="30"/>
      <w:bookmarkEnd w:id="31"/>
      <w:bookmarkEnd w:id="32"/>
      <w:bookmarkEnd w:id="33"/>
      <w:bookmarkEnd w:id="34"/>
      <w:bookmarkEnd w:id="35"/>
    </w:p>
    <w:p>
      <w:pPr>
        <w:pStyle w:val="24"/>
        <w:spacing w:before="120" w:after="120"/>
        <w:rPr>
          <w:lang w:val="en-US"/>
        </w:rPr>
      </w:pPr>
      <w:bookmarkStart w:id="36" w:name="_Toc32414"/>
      <w:bookmarkStart w:id="37" w:name="_Toc26356"/>
      <w:bookmarkStart w:id="38" w:name="_Toc28517"/>
      <w:bookmarkStart w:id="39" w:name="_Toc28614"/>
      <w:r>
        <w:rPr>
          <w:rFonts w:hint="eastAsia"/>
          <w:lang w:val="en-US" w:eastAsia="zh-CN"/>
        </w:rPr>
        <w:t>Support the use of independent availability combination index field in DCI format 2_5 to indicate availability of soft resources at RB set level</w:t>
      </w:r>
      <w:r>
        <w:rPr>
          <w:lang w:val="en-US"/>
        </w:rPr>
        <w:t>.</w:t>
      </w:r>
      <w:bookmarkEnd w:id="36"/>
      <w:bookmarkEnd w:id="37"/>
      <w:bookmarkEnd w:id="38"/>
      <w:bookmarkEnd w:id="39"/>
    </w:p>
    <w:p>
      <w:pPr>
        <w:pStyle w:val="24"/>
        <w:numPr>
          <w:ilvl w:val="0"/>
          <w:numId w:val="0"/>
        </w:numPr>
        <w:spacing w:before="120" w:after="120"/>
        <w:rPr>
          <w:lang w:val="en-US" w:eastAsia="zh-CN"/>
        </w:rPr>
      </w:pPr>
    </w:p>
    <w:p>
      <w:pPr>
        <w:pStyle w:val="3"/>
        <w:spacing w:before="120" w:after="120"/>
        <w:ind w:left="991" w:right="210" w:hanging="991" w:hangingChars="354"/>
        <w:rPr>
          <w:rFonts w:cs="Arial"/>
          <w:szCs w:val="28"/>
        </w:rPr>
      </w:pPr>
      <w:r>
        <w:rPr>
          <w:rFonts w:cs="Arial"/>
          <w:szCs w:val="28"/>
        </w:rPr>
        <w:t>Spatial domain</w:t>
      </w:r>
    </w:p>
    <w:p>
      <w:pPr>
        <w:spacing w:before="120" w:after="120"/>
        <w:rPr>
          <w:sz w:val="20"/>
        </w:rPr>
      </w:pPr>
      <w:r>
        <w:rPr>
          <w:sz w:val="20"/>
        </w:rPr>
        <w:t>The following agreements have been made in RAN1#104b-e on whether/how to manage resources in the spatial domain.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pStyle w:val="7"/>
              <w:spacing w:before="120"/>
              <w:jc w:val="left"/>
              <w:rPr>
                <w:rFonts w:eastAsia="Times New Roman"/>
                <w:bCs/>
                <w:sz w:val="20"/>
                <w:lang w:eastAsia="en-US"/>
              </w:rPr>
            </w:pPr>
            <w:r>
              <w:rPr>
                <w:rFonts w:eastAsia="Times New Roman"/>
                <w:b/>
                <w:sz w:val="20"/>
                <w:highlight w:val="green"/>
              </w:rPr>
              <w:t>Agreement</w:t>
            </w:r>
          </w:p>
          <w:p>
            <w:pPr>
              <w:pStyle w:val="38"/>
              <w:spacing w:before="120" w:after="120"/>
              <w:ind w:firstLine="0" w:firstLineChars="0"/>
              <w:rPr>
                <w:color w:val="28313E"/>
                <w:sz w:val="20"/>
              </w:rPr>
            </w:pPr>
            <w:r>
              <w:rPr>
                <w:color w:val="28313E"/>
                <w:sz w:val="20"/>
                <w:lang w:eastAsia="zh-CN"/>
              </w:rPr>
              <w:t>To facilitate simultaneous operations and interference management, dynamic indication for restriction/usage/availability of beams(in upstream and/or downstream directions)  is supported.</w:t>
            </w:r>
          </w:p>
          <w:p>
            <w:pPr>
              <w:pStyle w:val="38"/>
              <w:numPr>
                <w:ilvl w:val="0"/>
                <w:numId w:val="8"/>
              </w:numPr>
              <w:spacing w:before="120" w:after="120"/>
              <w:ind w:firstLineChars="0"/>
              <w:rPr>
                <w:rFonts w:eastAsia="Times New Roman"/>
                <w:bCs/>
                <w:sz w:val="20"/>
                <w:lang w:eastAsia="en-US"/>
              </w:rPr>
            </w:pPr>
            <w:r>
              <w:rPr>
                <w:rFonts w:eastAsia="Times New Roman"/>
                <w:bCs/>
                <w:sz w:val="20"/>
                <w:lang w:eastAsia="zh-CN"/>
              </w:rPr>
              <w:t xml:space="preserve">FFS: Applicability to specific multiplexing cases or specific time-frequency resources </w:t>
            </w:r>
          </w:p>
          <w:p>
            <w:pPr>
              <w:pStyle w:val="38"/>
              <w:numPr>
                <w:ilvl w:val="0"/>
                <w:numId w:val="8"/>
              </w:numPr>
              <w:spacing w:before="120" w:after="120"/>
              <w:ind w:firstLineChars="0"/>
              <w:rPr>
                <w:rFonts w:eastAsia="Times New Roman"/>
                <w:bCs/>
                <w:sz w:val="20"/>
                <w:lang w:eastAsia="en-US"/>
              </w:rPr>
            </w:pPr>
            <w:r>
              <w:rPr>
                <w:rFonts w:eastAsia="Times New Roman"/>
                <w:bCs/>
                <w:sz w:val="20"/>
                <w:lang w:eastAsia="zh-CN"/>
              </w:rPr>
              <w:t xml:space="preserve">FFS: Whether IAB-specific enhancements beyond the existing beam management framework are needed to the support the functionality </w:t>
            </w:r>
          </w:p>
          <w:p>
            <w:pPr>
              <w:pStyle w:val="38"/>
              <w:numPr>
                <w:ilvl w:val="0"/>
                <w:numId w:val="8"/>
              </w:numPr>
              <w:spacing w:before="120" w:after="120"/>
              <w:ind w:firstLineChars="0"/>
              <w:rPr>
                <w:rFonts w:eastAsia="Times New Roman"/>
                <w:bCs/>
                <w:sz w:val="20"/>
                <w:lang w:eastAsia="en-US"/>
              </w:rPr>
            </w:pPr>
            <w:r>
              <w:rPr>
                <w:rFonts w:eastAsia="Times New Roman"/>
                <w:bCs/>
                <w:sz w:val="20"/>
                <w:lang w:eastAsia="zh-CN"/>
              </w:rPr>
              <w:t>FFS: Impact on the semi-static resource configurations (e.g., extending the H/S/NA resource attributes to the spatial domain)</w:t>
            </w:r>
          </w:p>
          <w:p>
            <w:pPr>
              <w:pStyle w:val="38"/>
              <w:numPr>
                <w:ilvl w:val="0"/>
                <w:numId w:val="8"/>
              </w:numPr>
              <w:spacing w:before="120" w:after="120"/>
              <w:ind w:firstLineChars="0"/>
              <w:rPr>
                <w:rFonts w:eastAsia="Times New Roman"/>
                <w:bCs/>
                <w:sz w:val="20"/>
                <w:lang w:eastAsia="en-US"/>
              </w:rPr>
            </w:pPr>
            <w:r>
              <w:rPr>
                <w:rFonts w:eastAsia="Times New Roman"/>
                <w:bCs/>
                <w:sz w:val="20"/>
                <w:lang w:eastAsia="zh-CN"/>
              </w:rPr>
              <w:t>FFS: Whether panel-based granularity is additionally supported</w:t>
            </w:r>
          </w:p>
          <w:p>
            <w:pPr>
              <w:widowControl w:val="0"/>
              <w:spacing w:before="120" w:after="120"/>
              <w:rPr>
                <w:sz w:val="20"/>
              </w:rPr>
            </w:pPr>
          </w:p>
        </w:tc>
      </w:tr>
    </w:tbl>
    <w:p>
      <w:pPr>
        <w:numPr>
          <w:ilvl w:val="255"/>
          <w:numId w:val="0"/>
        </w:numPr>
        <w:spacing w:before="120" w:after="120"/>
        <w:rPr>
          <w:sz w:val="20"/>
        </w:rPr>
      </w:pPr>
      <w:r>
        <w:rPr>
          <w:sz w:val="20"/>
        </w:rPr>
        <w:t>In Rel-16, an IAB node can report to CU the information about the multiplexing capabilities between the IAB-DU cell and the cells configured on the collocated IAB-MT, such as, an indication of whether the IAB-node supports simultaneous MT-Tx/DU-Tx, simultaneous MT-Rx/DU-Rx, or simultaneous MT-Rx/DU-Tx, simultaneous MT-Tx/DU-Rx. Furthermore, the CU sends the multiplexing capability of the IAB node to its parent node, i.e. the parent node can be made aware of the multiplexing capabilities of IAB node. However, the fact that an IAB node has the capability to operate simultaneously does not mean that the IAB node can always perform simultaneous operation. There are some factors, e.g. timing alignment, power control and beams used by IAB-DU and collocated IAB-MT, which can impact the actual simultaneous operation capabilities. Therefore, it is difficult for CU to semi-static control all the IAB-DUs resource availability on spatial-domain due to the time-variant channel conditions. I.e. H/S/NA configuration is not applicable for SDM.</w:t>
      </w:r>
    </w:p>
    <w:p>
      <w:pPr>
        <w:pStyle w:val="23"/>
        <w:spacing w:before="120" w:after="120"/>
        <w:rPr>
          <w:lang w:val="en-US" w:eastAsia="zh-CN"/>
        </w:rPr>
      </w:pPr>
      <w:r>
        <w:t xml:space="preserve"> </w:t>
      </w:r>
      <w:bookmarkStart w:id="40" w:name="_Toc11239"/>
      <w:bookmarkStart w:id="41" w:name="_Toc26148"/>
      <w:r>
        <w:rPr>
          <w:lang w:val="en-US" w:eastAsia="zh-CN"/>
        </w:rPr>
        <w:t>Semi-static H/S/NA configuration is not applicable for SDM due to time-variant channel conditions.</w:t>
      </w:r>
      <w:bookmarkEnd w:id="40"/>
      <w:bookmarkEnd w:id="41"/>
      <w:r>
        <w:rPr>
          <w:lang w:val="en-US" w:eastAsia="zh-CN"/>
        </w:rPr>
        <w:t xml:space="preserve">  </w:t>
      </w:r>
    </w:p>
    <w:p>
      <w:pPr>
        <w:pStyle w:val="24"/>
        <w:spacing w:before="120" w:after="120"/>
        <w:rPr>
          <w:lang w:val="en-US" w:eastAsia="zh-CN"/>
        </w:rPr>
      </w:pPr>
      <w:r>
        <w:t xml:space="preserve"> </w:t>
      </w:r>
      <w:bookmarkStart w:id="42" w:name="_Toc9195"/>
      <w:bookmarkStart w:id="43" w:name="_Toc10500"/>
      <w:bookmarkStart w:id="44" w:name="_Toc68678821"/>
      <w:bookmarkStart w:id="45" w:name="_Toc31546"/>
      <w:bookmarkStart w:id="46" w:name="_Toc19990"/>
      <w:r>
        <w:t>Extension of H/S/NA resource indication to the spatial domain is not supported.</w:t>
      </w:r>
      <w:bookmarkEnd w:id="42"/>
      <w:bookmarkEnd w:id="43"/>
      <w:bookmarkEnd w:id="44"/>
      <w:bookmarkEnd w:id="45"/>
      <w:bookmarkEnd w:id="46"/>
    </w:p>
    <w:p>
      <w:pPr>
        <w:spacing w:before="120" w:beforeLines="0" w:after="120" w:afterLines="0"/>
        <w:rPr>
          <w:sz w:val="20"/>
        </w:rPr>
      </w:pPr>
      <w:r>
        <w:rPr>
          <w:sz w:val="20"/>
        </w:rPr>
        <w:t xml:space="preserve">Similar as slot format indication by DCI format 2_0 or availability indication of soft symbols by DCI </w:t>
      </w:r>
      <w:r>
        <w:rPr>
          <w:rFonts w:hint="eastAsia"/>
          <w:sz w:val="20"/>
        </w:rPr>
        <w:t>f</w:t>
      </w:r>
      <w:r>
        <w:rPr>
          <w:sz w:val="20"/>
        </w:rPr>
        <w:t xml:space="preserve">ormat 2_5 in Rel-16, the beams which will be used by parent backhaul link (e.g. parent node DU Tx beam, IAB-MT Tx beam) can be indicated by parent node to an IAB node. IAB </w:t>
      </w:r>
      <w:r>
        <w:rPr>
          <w:rFonts w:hint="eastAsia"/>
          <w:sz w:val="20"/>
        </w:rPr>
        <w:t>DU</w:t>
      </w:r>
      <w:r>
        <w:rPr>
          <w:sz w:val="20"/>
        </w:rPr>
        <w:t xml:space="preserve"> can determine the beams of child backhaul link/access link according to the indication from its parent node. For instance, the TCI/SRI for parent backhaul link could be indicated to IAB node from its parent node in advance. According to the indicated beams, the IAB node can dynamically determine whether simultaneous operation can be performed, and dynamically determine how to perform SDM, e.g. selecting appropriate beam for IAB-DU.</w:t>
      </w:r>
      <w:r>
        <w:rPr>
          <w:rFonts w:hint="eastAsia"/>
          <w:sz w:val="20"/>
        </w:rPr>
        <w:t xml:space="preserve"> N</w:t>
      </w:r>
      <w:r>
        <w:rPr>
          <w:sz w:val="20"/>
        </w:rPr>
        <w:t>ew DCI format 2_x or extension of DCI format 2_</w:t>
      </w:r>
      <w:r>
        <w:rPr>
          <w:rFonts w:hint="eastAsia"/>
          <w:sz w:val="20"/>
        </w:rPr>
        <w:t>0/2-5</w:t>
      </w:r>
      <w:r>
        <w:rPr>
          <w:sz w:val="20"/>
        </w:rPr>
        <w:t xml:space="preserve"> can be used to indicate the beams that can be used (i.e. beam availability) for the parent backhaul link of an IAB node.</w:t>
      </w:r>
      <w:r>
        <w:rPr>
          <w:rFonts w:hint="eastAsia"/>
          <w:sz w:val="20"/>
        </w:rPr>
        <w:t xml:space="preserve"> For example, </w:t>
      </w:r>
      <w:r>
        <w:rPr>
          <w:sz w:val="20"/>
        </w:rPr>
        <w:t>the following information</w:t>
      </w:r>
      <w:r>
        <w:rPr>
          <w:rFonts w:hint="eastAsia"/>
          <w:sz w:val="20"/>
        </w:rPr>
        <w:t xml:space="preserve"> can be provided f</w:t>
      </w:r>
      <w:r>
        <w:rPr>
          <w:sz w:val="20"/>
        </w:rPr>
        <w:t xml:space="preserve">or each serving cell of </w:t>
      </w:r>
      <w:r>
        <w:rPr>
          <w:rFonts w:hint="eastAsia"/>
          <w:sz w:val="20"/>
        </w:rPr>
        <w:t xml:space="preserve">an </w:t>
      </w:r>
      <w:r>
        <w:rPr>
          <w:sz w:val="20"/>
        </w:rPr>
        <w:t>IAB-MT</w:t>
      </w:r>
      <w:r>
        <w:rPr>
          <w:rFonts w:hint="eastAsia"/>
          <w:sz w:val="20"/>
        </w:rPr>
        <w:t>.</w:t>
      </w:r>
      <w:r>
        <w:rPr>
          <w:sz w:val="20"/>
        </w:rPr>
        <w:t xml:space="preserve"> </w:t>
      </w:r>
    </w:p>
    <w:p>
      <w:pPr>
        <w:numPr>
          <w:ilvl w:val="0"/>
          <w:numId w:val="9"/>
        </w:numPr>
        <w:spacing w:beforeLines="0" w:afterLines="0" w:line="259" w:lineRule="auto"/>
        <w:rPr>
          <w:sz w:val="20"/>
        </w:rPr>
      </w:pPr>
      <w:r>
        <w:rPr>
          <w:sz w:val="20"/>
        </w:rPr>
        <w:t>a location of beam availability index field in DCI format 2_x</w:t>
      </w:r>
    </w:p>
    <w:p>
      <w:pPr>
        <w:numPr>
          <w:ilvl w:val="0"/>
          <w:numId w:val="9"/>
        </w:numPr>
        <w:spacing w:beforeLines="0" w:afterLines="0" w:line="259" w:lineRule="auto"/>
        <w:rPr>
          <w:sz w:val="20"/>
        </w:rPr>
      </w:pPr>
      <w:r>
        <w:rPr>
          <w:rFonts w:eastAsiaTheme="minorEastAsia"/>
          <w:sz w:val="20"/>
        </w:rPr>
        <w:t xml:space="preserve">a set of beam </w:t>
      </w:r>
      <w:r>
        <w:rPr>
          <w:sz w:val="20"/>
        </w:rPr>
        <w:t>availability combinations, where each beam availability combination in the set of beam availability combinations indicates the beams that can be used for the parent backhaul link in one or more slot, and each beam availability combination corresponds to a beam availability combination ID. Beam availability index field in DCI f</w:t>
      </w:r>
      <w:r>
        <w:rPr>
          <w:rFonts w:hint="eastAsia"/>
          <w:sz w:val="20"/>
        </w:rPr>
        <w:t>or</w:t>
      </w:r>
      <w:r>
        <w:rPr>
          <w:sz w:val="20"/>
        </w:rPr>
        <w:t>mat 2_x is used to indicate a beam availability combination ID.</w:t>
      </w:r>
    </w:p>
    <w:p>
      <w:pPr>
        <w:spacing w:beforeLines="0" w:afterLines="0" w:line="259" w:lineRule="auto"/>
        <w:rPr>
          <w:sz w:val="20"/>
        </w:rPr>
      </w:pPr>
      <w:r>
        <w:rPr>
          <w:sz w:val="20"/>
        </w:rPr>
        <w:t>IAB node can determine the beams that can be used for the parent backhaul link in one or more slots once IAB node detects the DCI for</w:t>
      </w:r>
      <w:r>
        <w:rPr>
          <w:rFonts w:hint="eastAsia"/>
          <w:sz w:val="20"/>
        </w:rPr>
        <w:t>ma</w:t>
      </w:r>
      <w:r>
        <w:rPr>
          <w:sz w:val="20"/>
        </w:rPr>
        <w:t>t 2_x or extension of DCI format 2_</w:t>
      </w:r>
      <w:r>
        <w:rPr>
          <w:rFonts w:hint="eastAsia"/>
          <w:sz w:val="20"/>
        </w:rPr>
        <w:t>0/2-5</w:t>
      </w:r>
      <w:r>
        <w:rPr>
          <w:sz w:val="20"/>
        </w:rPr>
        <w:t>.</w:t>
      </w:r>
      <w:r>
        <w:rPr>
          <w:rFonts w:hint="eastAsia"/>
          <w:sz w:val="20"/>
        </w:rPr>
        <w:t xml:space="preserve"> </w:t>
      </w:r>
      <w:r>
        <w:rPr>
          <w:sz w:val="20"/>
        </w:rPr>
        <w:t xml:space="preserve">In above approach, </w:t>
      </w:r>
      <w:r>
        <w:rPr>
          <w:rFonts w:hint="eastAsia"/>
          <w:sz w:val="20"/>
        </w:rPr>
        <w:t>details for</w:t>
      </w:r>
      <w:r>
        <w:rPr>
          <w:sz w:val="20"/>
        </w:rPr>
        <w:t xml:space="preserve"> how to define/configure </w:t>
      </w:r>
      <w:r>
        <w:rPr>
          <w:rFonts w:eastAsiaTheme="minorEastAsia"/>
          <w:sz w:val="20"/>
        </w:rPr>
        <w:t xml:space="preserve">beam </w:t>
      </w:r>
      <w:r>
        <w:rPr>
          <w:sz w:val="20"/>
        </w:rPr>
        <w:t>availability combination</w:t>
      </w:r>
      <w:r>
        <w:rPr>
          <w:rFonts w:hint="eastAsia"/>
          <w:sz w:val="20"/>
        </w:rPr>
        <w:t xml:space="preserve"> can be FFS</w:t>
      </w:r>
      <w:r>
        <w:rPr>
          <w:sz w:val="20"/>
        </w:rPr>
        <w:t xml:space="preserve">. </w:t>
      </w:r>
      <w:r>
        <w:rPr>
          <w:rFonts w:hint="eastAsia"/>
          <w:sz w:val="20"/>
        </w:rPr>
        <w:t>E.g.</w:t>
      </w:r>
      <w:r>
        <w:rPr>
          <w:sz w:val="20"/>
        </w:rPr>
        <w:t xml:space="preserve">, </w:t>
      </w:r>
      <w:r>
        <w:rPr>
          <w:rFonts w:hint="eastAsia"/>
          <w:sz w:val="20"/>
        </w:rPr>
        <w:t xml:space="preserve">whether </w:t>
      </w:r>
      <w:r>
        <w:rPr>
          <w:rFonts w:eastAsiaTheme="minorEastAsia"/>
          <w:sz w:val="20"/>
        </w:rPr>
        <w:t xml:space="preserve">beam </w:t>
      </w:r>
      <w:r>
        <w:rPr>
          <w:sz w:val="20"/>
        </w:rPr>
        <w:t>availability combinations are provided similar as availability combination of sof</w:t>
      </w:r>
      <w:r>
        <w:rPr>
          <w:rFonts w:hint="eastAsia"/>
          <w:sz w:val="20"/>
        </w:rPr>
        <w:t>t</w:t>
      </w:r>
      <w:r>
        <w:rPr>
          <w:sz w:val="20"/>
        </w:rPr>
        <w:t xml:space="preserve"> resources</w:t>
      </w:r>
      <w:r>
        <w:rPr>
          <w:rFonts w:hint="eastAsia"/>
          <w:sz w:val="20"/>
        </w:rPr>
        <w:t>, the</w:t>
      </w:r>
      <w:r>
        <w:rPr>
          <w:sz w:val="20"/>
        </w:rPr>
        <w:t xml:space="preserve"> time domain granularity </w:t>
      </w:r>
      <w:r>
        <w:rPr>
          <w:rFonts w:hint="eastAsia"/>
          <w:sz w:val="20"/>
        </w:rPr>
        <w:t>for</w:t>
      </w:r>
      <w:r>
        <w:rPr>
          <w:sz w:val="20"/>
        </w:rPr>
        <w:t xml:space="preserve"> beam availability indication</w:t>
      </w:r>
      <w:r>
        <w:rPr>
          <w:rFonts w:hint="eastAsia"/>
          <w:sz w:val="20"/>
        </w:rPr>
        <w:t xml:space="preserve"> (</w:t>
      </w:r>
      <w:r>
        <w:rPr>
          <w:sz w:val="20"/>
        </w:rPr>
        <w:t>such as per a set of slot</w:t>
      </w:r>
      <w:r>
        <w:rPr>
          <w:rFonts w:hint="eastAsia"/>
          <w:sz w:val="20"/>
        </w:rPr>
        <w:t>s</w:t>
      </w:r>
      <w:r>
        <w:rPr>
          <w:sz w:val="20"/>
        </w:rPr>
        <w:t>, per slot or per resource type per slot</w:t>
      </w:r>
      <w:r>
        <w:rPr>
          <w:rFonts w:hint="eastAsia"/>
          <w:sz w:val="20"/>
        </w:rPr>
        <w:t>)</w:t>
      </w:r>
      <w:r>
        <w:rPr>
          <w:sz w:val="20"/>
        </w:rPr>
        <w:t>.</w:t>
      </w:r>
    </w:p>
    <w:p>
      <w:pPr>
        <w:pStyle w:val="24"/>
        <w:spacing w:before="120" w:after="120"/>
        <w:rPr>
          <w:lang w:val="en-US" w:eastAsia="zh-CN"/>
        </w:rPr>
      </w:pPr>
      <w:bookmarkStart w:id="47" w:name="_Toc27556"/>
      <w:bookmarkStart w:id="48" w:name="_Toc13190"/>
      <w:bookmarkStart w:id="49" w:name="_Toc4155"/>
      <w:bookmarkStart w:id="50" w:name="_Toc9738"/>
      <w:r>
        <w:rPr>
          <w:rFonts w:hint="eastAsia"/>
          <w:lang w:val="en-US" w:eastAsia="zh-CN"/>
        </w:rPr>
        <w:t>To enable simultaneous operation at the IAB node, dynamic indication of beams which will be used by parent backhaul link (e.g. parent node DU Tx beam, IAB-MT Tx beam) can be supported, signaling similar as DCI format 2_0/2_5 could be a star</w:t>
      </w:r>
      <w:r>
        <w:rPr>
          <w:lang w:val="en-US" w:eastAsia="zh-CN"/>
        </w:rPr>
        <w:t>t</w:t>
      </w:r>
      <w:r>
        <w:rPr>
          <w:rFonts w:hint="eastAsia"/>
          <w:lang w:val="en-US" w:eastAsia="zh-CN"/>
        </w:rPr>
        <w:t>ing point for such indication</w:t>
      </w:r>
      <w:r>
        <w:rPr>
          <w:lang w:val="en-US" w:eastAsia="zh-CN"/>
        </w:rPr>
        <w:t>:</w:t>
      </w:r>
      <w:bookmarkEnd w:id="47"/>
      <w:bookmarkEnd w:id="48"/>
      <w:bookmarkEnd w:id="49"/>
      <w:bookmarkEnd w:id="50"/>
      <w:r>
        <w:rPr>
          <w:lang w:val="en-US" w:eastAsia="zh-CN"/>
        </w:rPr>
        <w:t xml:space="preserve"> </w:t>
      </w:r>
    </w:p>
    <w:p>
      <w:pPr>
        <w:pStyle w:val="25"/>
        <w:spacing w:before="120" w:after="120"/>
        <w:ind w:left="822" w:hanging="402"/>
        <w:rPr>
          <w:lang w:val="en-US" w:eastAsia="zh-CN"/>
        </w:rPr>
      </w:pPr>
      <w:bookmarkStart w:id="51" w:name="_Toc12583"/>
      <w:bookmarkStart w:id="52" w:name="_Toc12641"/>
      <w:bookmarkStart w:id="53" w:name="_Toc4136"/>
      <w:bookmarkStart w:id="54" w:name="_Toc28541"/>
      <w:bookmarkStart w:id="55" w:name="_Toc68678818"/>
      <w:bookmarkStart w:id="56" w:name="_Toc4810"/>
      <w:bookmarkStart w:id="57" w:name="_Toc5481"/>
      <w:bookmarkStart w:id="58" w:name="_Toc2485"/>
      <w:r>
        <w:rPr>
          <w:lang w:val="en-US" w:eastAsia="zh-CN"/>
        </w:rPr>
        <w:t>FFS: how to define/configure beam availability combination</w:t>
      </w:r>
      <w:bookmarkEnd w:id="51"/>
      <w:bookmarkEnd w:id="52"/>
      <w:bookmarkEnd w:id="53"/>
      <w:bookmarkEnd w:id="54"/>
      <w:bookmarkEnd w:id="55"/>
      <w:bookmarkEnd w:id="56"/>
      <w:bookmarkEnd w:id="57"/>
      <w:bookmarkEnd w:id="58"/>
    </w:p>
    <w:p>
      <w:pPr>
        <w:pStyle w:val="25"/>
        <w:spacing w:before="120" w:after="120"/>
        <w:ind w:left="822" w:hanging="402"/>
        <w:rPr>
          <w:lang w:val="en-US" w:eastAsia="zh-CN"/>
        </w:rPr>
      </w:pPr>
      <w:bookmarkStart w:id="59" w:name="_Toc3383"/>
      <w:bookmarkStart w:id="60" w:name="_Toc29468"/>
      <w:bookmarkStart w:id="61" w:name="_Toc12348"/>
      <w:bookmarkStart w:id="62" w:name="_Toc3985"/>
      <w:r>
        <w:rPr>
          <w:rFonts w:hint="eastAsia"/>
          <w:lang w:val="en-US" w:eastAsia="zh-CN"/>
        </w:rPr>
        <w:t xml:space="preserve">FFS: </w:t>
      </w:r>
      <w:r>
        <w:rPr>
          <w:lang w:val="en-US" w:eastAsia="zh-CN"/>
        </w:rPr>
        <w:t>time domain granularity of beam availability indication</w:t>
      </w:r>
      <w:bookmarkEnd w:id="59"/>
      <w:bookmarkEnd w:id="60"/>
      <w:bookmarkEnd w:id="61"/>
      <w:bookmarkEnd w:id="62"/>
    </w:p>
    <w:p>
      <w:pPr>
        <w:pStyle w:val="24"/>
        <w:numPr>
          <w:ilvl w:val="0"/>
          <w:numId w:val="0"/>
        </w:numPr>
        <w:spacing w:before="120" w:after="120"/>
        <w:rPr>
          <w:lang w:val="en-US" w:eastAsia="zh-CN"/>
        </w:rPr>
      </w:pPr>
    </w:p>
    <w:p>
      <w:pPr>
        <w:pStyle w:val="3"/>
        <w:spacing w:before="120" w:after="120"/>
        <w:ind w:left="991" w:right="210" w:hanging="991" w:hangingChars="354"/>
        <w:rPr>
          <w:rFonts w:cs="Arial"/>
          <w:szCs w:val="28"/>
        </w:rPr>
      </w:pPr>
      <w:r>
        <w:rPr>
          <w:rFonts w:cs="Arial"/>
          <w:szCs w:val="28"/>
        </w:rPr>
        <w:t>Dual connectivity</w:t>
      </w:r>
    </w:p>
    <w:p>
      <w:pPr>
        <w:spacing w:before="120" w:after="120"/>
        <w:rPr>
          <w:sz w:val="20"/>
        </w:rPr>
      </w:pPr>
      <w:r>
        <w:rPr>
          <w:sz w:val="20"/>
        </w:rPr>
        <w:t>The following agreements have been made in RAN1#104b-e on dual connectivity for IAB node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sz w:val="20"/>
              </w:rPr>
            </w:pPr>
            <w:r>
              <w:rPr>
                <w:b/>
                <w:bCs/>
                <w:sz w:val="20"/>
                <w:highlight w:val="green"/>
              </w:rPr>
              <w:t>Agreement</w:t>
            </w:r>
          </w:p>
          <w:p>
            <w:pPr>
              <w:pStyle w:val="38"/>
              <w:widowControl w:val="0"/>
              <w:spacing w:before="120" w:after="120"/>
              <w:ind w:firstLine="0" w:firstLineChars="0"/>
              <w:rPr>
                <w:color w:val="28313E"/>
                <w:sz w:val="20"/>
                <w:lang w:eastAsia="zh-CN"/>
              </w:rPr>
            </w:pPr>
            <w:r>
              <w:rPr>
                <w:color w:val="28313E"/>
                <w:sz w:val="20"/>
                <w:lang w:eastAsia="zh-CN"/>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pPr>
              <w:pStyle w:val="38"/>
              <w:widowControl w:val="0"/>
              <w:numPr>
                <w:ilvl w:val="0"/>
                <w:numId w:val="8"/>
              </w:numPr>
              <w:spacing w:before="120" w:after="120"/>
              <w:ind w:firstLineChars="0"/>
              <w:rPr>
                <w:rFonts w:eastAsia="Times New Roman"/>
                <w:bCs/>
                <w:sz w:val="20"/>
                <w:lang w:eastAsia="zh-CN"/>
              </w:rPr>
            </w:pPr>
            <w:r>
              <w:rPr>
                <w:rFonts w:eastAsia="Times New Roman"/>
                <w:bCs/>
                <w:sz w:val="20"/>
                <w:lang w:eastAsia="zh-CN"/>
              </w:rPr>
              <w:t>Extending the Rel-16 CA TDD conflict resolution framework for synchronous intra-band NR-DC operation</w:t>
            </w:r>
          </w:p>
          <w:p>
            <w:pPr>
              <w:pStyle w:val="38"/>
              <w:widowControl w:val="0"/>
              <w:numPr>
                <w:ilvl w:val="0"/>
                <w:numId w:val="8"/>
              </w:numPr>
              <w:spacing w:before="120" w:after="120"/>
              <w:ind w:firstLineChars="0"/>
              <w:rPr>
                <w:rFonts w:eastAsia="Times New Roman"/>
                <w:bCs/>
                <w:sz w:val="20"/>
                <w:lang w:eastAsia="zh-CN"/>
              </w:rPr>
            </w:pPr>
            <w:r>
              <w:rPr>
                <w:rFonts w:eastAsia="Times New Roman"/>
                <w:bCs/>
                <w:sz w:val="20"/>
                <w:lang w:eastAsia="zh-CN"/>
              </w:rPr>
              <w:t>Coordinating TDD configurations for the parent nodes (for both intra-donor and inter-donor operation) and coordinating H/S/NA configurations for the child node between donors (at least for inter-donor operation)</w:t>
            </w:r>
          </w:p>
          <w:p>
            <w:pPr>
              <w:widowControl w:val="0"/>
              <w:spacing w:before="120" w:after="120"/>
              <w:rPr>
                <w:sz w:val="20"/>
              </w:rPr>
            </w:pPr>
          </w:p>
        </w:tc>
      </w:tr>
    </w:tbl>
    <w:p>
      <w:pPr>
        <w:spacing w:beforeLines="0" w:afterLines="0" w:line="259" w:lineRule="auto"/>
      </w:pPr>
      <w:r>
        <w:rPr>
          <w:sz w:val="20"/>
        </w:rPr>
        <w:t>In order to mitigate</w:t>
      </w:r>
      <w:r>
        <w:rPr>
          <w:rFonts w:hint="eastAsia"/>
          <w:sz w:val="20"/>
        </w:rPr>
        <w:t xml:space="preserve"> the</w:t>
      </w:r>
      <w:r>
        <w:rPr>
          <w:sz w:val="20"/>
        </w:rPr>
        <w:t xml:space="preserve"> </w:t>
      </w:r>
      <w:r>
        <w:rPr>
          <w:rFonts w:hint="eastAsia"/>
          <w:sz w:val="20"/>
        </w:rPr>
        <w:t>transmission direction collision</w:t>
      </w:r>
      <w:r>
        <w:rPr>
          <w:sz w:val="20"/>
        </w:rPr>
        <w:t xml:space="preserve"> in in</w:t>
      </w:r>
      <w:r>
        <w:rPr>
          <w:rFonts w:hint="eastAsia"/>
          <w:sz w:val="20"/>
        </w:rPr>
        <w:t>tra-</w:t>
      </w:r>
      <w:r>
        <w:rPr>
          <w:sz w:val="20"/>
        </w:rPr>
        <w:t>band NR DC operation, the TDD configurations for the parent nodes need to be aligned first</w:t>
      </w:r>
      <w:r>
        <w:rPr>
          <w:rFonts w:hint="eastAsia"/>
          <w:sz w:val="20"/>
        </w:rPr>
        <w:t>ly</w:t>
      </w:r>
      <w:r>
        <w:rPr>
          <w:sz w:val="20"/>
        </w:rPr>
        <w:t>. This can be guaranteed for intra</w:t>
      </w:r>
      <w:r>
        <w:rPr>
          <w:rFonts w:hint="eastAsia"/>
          <w:sz w:val="20"/>
        </w:rPr>
        <w:t>-</w:t>
      </w:r>
      <w:r>
        <w:rPr>
          <w:sz w:val="20"/>
        </w:rPr>
        <w:t xml:space="preserve">donor operation as the same CU can coordinate the configurations internally, while for inter donor operation, there may need some TDD configuration coordination between CUs, this can be left for RAN2 and/or RAN3. In </w:t>
      </w:r>
      <w:r>
        <w:rPr>
          <w:rFonts w:hint="eastAsia"/>
          <w:sz w:val="20"/>
        </w:rPr>
        <w:t>general</w:t>
      </w:r>
      <w:r>
        <w:rPr>
          <w:sz w:val="20"/>
        </w:rPr>
        <w:t>, from RAN1 perspective, the TDD configuration from different parent nodes are assumed identical to minimize the conflict at the IAB MT side.</w:t>
      </w:r>
    </w:p>
    <w:p>
      <w:pPr>
        <w:pStyle w:val="24"/>
        <w:spacing w:before="120" w:after="120"/>
        <w:rPr>
          <w:lang w:val="en-US" w:eastAsia="zh-CN"/>
        </w:rPr>
      </w:pPr>
      <w:bookmarkStart w:id="63" w:name="_Toc15324"/>
      <w:bookmarkStart w:id="64" w:name="_Toc31777"/>
      <w:bookmarkStart w:id="65" w:name="_Toc21222"/>
      <w:bookmarkStart w:id="66" w:name="_Toc20757"/>
      <w:r>
        <w:rPr>
          <w:rFonts w:hint="eastAsia"/>
          <w:lang w:val="en-US" w:eastAsia="zh-CN"/>
        </w:rPr>
        <w:t>To minimize the transmission direction conflict at the IAB MT side, the TDD configuration from different parent nodes are assumed not conflicted for intra-band inter-carrier DC.</w:t>
      </w:r>
      <w:bookmarkEnd w:id="63"/>
      <w:bookmarkEnd w:id="64"/>
      <w:bookmarkEnd w:id="65"/>
      <w:bookmarkEnd w:id="66"/>
    </w:p>
    <w:p>
      <w:pPr>
        <w:spacing w:beforeLines="0" w:afterLines="0" w:line="259" w:lineRule="auto"/>
        <w:rPr>
          <w:sz w:val="20"/>
        </w:rPr>
      </w:pPr>
      <w:r>
        <w:rPr>
          <w:rFonts w:hint="eastAsia"/>
          <w:sz w:val="20"/>
        </w:rPr>
        <w:t>Although inter-donor DC is supported in Rel-17, an IAB node can only have F1-AP interface with only one CU, i.e.,</w:t>
      </w:r>
      <w:r>
        <w:rPr>
          <w:sz w:val="20"/>
        </w:rPr>
        <w:t xml:space="preserve"> semi-static resource configuration per DU cell from </w:t>
      </w:r>
      <w:r>
        <w:rPr>
          <w:rFonts w:hint="eastAsia"/>
          <w:sz w:val="20"/>
        </w:rPr>
        <w:t xml:space="preserve">one </w:t>
      </w:r>
      <w:r>
        <w:rPr>
          <w:sz w:val="20"/>
        </w:rPr>
        <w:t xml:space="preserve">CU </w:t>
      </w:r>
      <w:r>
        <w:rPr>
          <w:rFonts w:hint="eastAsia"/>
          <w:sz w:val="20"/>
        </w:rPr>
        <w:t xml:space="preserve">is assumed according to RAN3 agreement, so there will be no </w:t>
      </w:r>
      <w:r>
        <w:rPr>
          <w:sz w:val="20"/>
        </w:rPr>
        <w:t>semi-static resource configuration</w:t>
      </w:r>
      <w:r>
        <w:rPr>
          <w:rFonts w:hint="eastAsia"/>
          <w:sz w:val="20"/>
        </w:rPr>
        <w:t xml:space="preserve"> conflict for IAB DU in DC operation.</w:t>
      </w:r>
    </w:p>
    <w:p>
      <w:pPr>
        <w:spacing w:beforeLines="0" w:afterLines="0" w:line="259" w:lineRule="auto"/>
        <w:rPr>
          <w:sz w:val="20"/>
        </w:rPr>
      </w:pPr>
    </w:p>
    <w:p>
      <w:pPr>
        <w:pStyle w:val="23"/>
        <w:spacing w:before="120" w:after="120"/>
        <w:rPr>
          <w:lang w:val="en-US" w:eastAsia="zh-CN"/>
        </w:rPr>
      </w:pPr>
      <w:bookmarkStart w:id="67" w:name="_Toc29962"/>
      <w:bookmarkStart w:id="68" w:name="_Toc30766"/>
      <w:r>
        <w:rPr>
          <w:rFonts w:hint="eastAsia"/>
          <w:lang w:val="en-US" w:eastAsia="zh-CN"/>
        </w:rPr>
        <w:t>S</w:t>
      </w:r>
      <w:r>
        <w:rPr>
          <w:rFonts w:eastAsia="宋体"/>
        </w:rPr>
        <w:t>emi-</w:t>
      </w:r>
      <w:r>
        <w:rPr>
          <w:lang w:val="en-US" w:eastAsia="zh-CN"/>
        </w:rPr>
        <w:t xml:space="preserve">static </w:t>
      </w:r>
      <w:r>
        <w:rPr>
          <w:rFonts w:hint="eastAsia"/>
          <w:lang w:val="en-US" w:eastAsia="zh-CN"/>
        </w:rPr>
        <w:t xml:space="preserve">IAB DU </w:t>
      </w:r>
      <w:r>
        <w:rPr>
          <w:rFonts w:eastAsia="宋体"/>
          <w:lang w:val="en-US" w:eastAsia="zh-CN"/>
        </w:rPr>
        <w:t xml:space="preserve">resource </w:t>
      </w:r>
      <w:r>
        <w:rPr>
          <w:rFonts w:eastAsia="宋体"/>
        </w:rPr>
        <w:t>configuration</w:t>
      </w:r>
      <w:r>
        <w:rPr>
          <w:rFonts w:hint="eastAsia"/>
          <w:lang w:val="en-US" w:eastAsia="zh-CN"/>
        </w:rPr>
        <w:t xml:space="preserve"> conflict in DC scenarios have been avoided since an IAB node can only</w:t>
      </w:r>
      <w:r>
        <w:rPr>
          <w:rFonts w:hint="eastAsia"/>
        </w:rPr>
        <w:t xml:space="preserve"> have F1-AP interface with only one CU</w:t>
      </w:r>
      <w:r>
        <w:rPr>
          <w:rFonts w:hint="eastAsia"/>
          <w:lang w:val="en-US" w:eastAsia="zh-CN"/>
        </w:rPr>
        <w:t>.</w:t>
      </w:r>
      <w:bookmarkEnd w:id="67"/>
      <w:bookmarkEnd w:id="68"/>
    </w:p>
    <w:p>
      <w:pPr>
        <w:widowControl w:val="0"/>
        <w:spacing w:before="120" w:after="120"/>
        <w:rPr>
          <w:sz w:val="20"/>
        </w:rPr>
      </w:pPr>
      <w:r>
        <w:rPr>
          <w:sz w:val="20"/>
        </w:rPr>
        <w:t xml:space="preserve">R16 CA has specified the TDD conflict resolution by defining a reference cell and UE will determine the transmission of a serving cell based on the indicated resource between a serving cell and the reference cell, UE is not expected to be configured and/or indicated different transmission directions between a serving cell and the reference cell. In DC operation, </w:t>
      </w:r>
      <w:r>
        <w:rPr>
          <w:rFonts w:hint="eastAsia"/>
          <w:sz w:val="20"/>
        </w:rPr>
        <w:t xml:space="preserve">the TDD conflict can be resolved in MCG and SCG respectively using current definition. And the conflict resolve framework can be extended that UE is not expected to be </w:t>
      </w:r>
      <w:r>
        <w:rPr>
          <w:sz w:val="20"/>
        </w:rPr>
        <w:t>configured and/or indicated different transmission directions</w:t>
      </w:r>
      <w:r>
        <w:rPr>
          <w:rFonts w:hint="eastAsia"/>
          <w:sz w:val="20"/>
        </w:rPr>
        <w:t xml:space="preserve"> between the reference cell in MCG and the reference cell in SCG additionally.</w:t>
      </w:r>
    </w:p>
    <w:p>
      <w:pPr>
        <w:pStyle w:val="24"/>
        <w:spacing w:before="120" w:after="120"/>
        <w:rPr>
          <w:lang w:val="en-US" w:eastAsia="zh-CN"/>
        </w:rPr>
      </w:pPr>
      <w:bookmarkStart w:id="69" w:name="_Toc13091"/>
      <w:bookmarkStart w:id="70" w:name="_Toc13844"/>
      <w:bookmarkStart w:id="71" w:name="_Toc8755"/>
      <w:r>
        <w:rPr>
          <w:rFonts w:hint="eastAsia"/>
          <w:lang w:val="en-US" w:eastAsia="zh-CN"/>
        </w:rPr>
        <w:t xml:space="preserve">In DC operation, IAB MT is not expected to be </w:t>
      </w:r>
      <w:r>
        <w:rPr>
          <w:lang w:val="en-US" w:eastAsia="zh-CN"/>
        </w:rPr>
        <w:t>configured and/or indicated different transmission directions</w:t>
      </w:r>
      <w:r>
        <w:rPr>
          <w:rFonts w:hint="eastAsia"/>
          <w:lang w:val="en-US" w:eastAsia="zh-CN"/>
        </w:rPr>
        <w:t xml:space="preserve"> between the reference cell in MCG and the reference cell in SCG</w:t>
      </w:r>
      <w:bookmarkEnd w:id="69"/>
      <w:bookmarkEnd w:id="70"/>
      <w:bookmarkEnd w:id="71"/>
    </w:p>
    <w:p>
      <w:pPr>
        <w:spacing w:before="120" w:after="120"/>
        <w:rPr>
          <w:sz w:val="20"/>
        </w:rPr>
      </w:pPr>
    </w:p>
    <w:p>
      <w:pPr>
        <w:spacing w:before="120" w:after="120"/>
        <w:rPr>
          <w:sz w:val="20"/>
        </w:rPr>
      </w:pPr>
      <w:r>
        <w:rPr>
          <w:sz w:val="20"/>
        </w:rPr>
        <w:t>In DC scenario, one parent has no knowledge of availability indication of another</w:t>
      </w:r>
      <w:r>
        <w:rPr>
          <w:rFonts w:hint="eastAsia"/>
          <w:sz w:val="20"/>
        </w:rPr>
        <w:t xml:space="preserve"> parent</w:t>
      </w:r>
      <w:r>
        <w:rPr>
          <w:sz w:val="20"/>
        </w:rPr>
        <w:t xml:space="preserve">, for example, when both parent IAB1 and parent IAB 2 can indicate the resource availability for soft symbol(s) to the IAB3-DU(s) by DCI format 2_5, and when parent IAB1 indicates the a DU resource at IAB3 side as available while parent IAB2 does not indicate the same resource as available, IAB3 DU will not know how to set the attribution of the resource. </w:t>
      </w:r>
    </w:p>
    <w:p>
      <w:pPr>
        <w:spacing w:before="120" w:after="120"/>
        <w:rPr>
          <w:sz w:val="20"/>
        </w:rPr>
      </w:pPr>
      <w:r>
        <w:rPr>
          <w:sz w:val="20"/>
        </w:rPr>
        <w:t>Generally speaking, if both parents are allowed to indicate the resource availability for soft symbol(s) of the same DU cell, there is inevitable potential conflict, and then a series spec work about conflict information report and DU resource availability confirmation are needed, which will lead to a more complex specification procedure, to avoid this situation, it is better just one parent is allowed to indicate the resource availability for soft symbol(s) to a cell of the IAB-DU(s) by DCI format 2_5.</w:t>
      </w:r>
    </w:p>
    <w:p>
      <w:pPr>
        <w:pStyle w:val="24"/>
        <w:spacing w:before="120" w:after="120"/>
        <w:rPr>
          <w:lang w:val="en-US" w:eastAsia="zh-CN"/>
        </w:rPr>
      </w:pPr>
      <w:bookmarkStart w:id="72" w:name="_Toc13198"/>
      <w:bookmarkStart w:id="73" w:name="_Toc3852"/>
      <w:bookmarkStart w:id="74" w:name="_Toc68678824"/>
      <w:bookmarkStart w:id="75" w:name="_Toc1061"/>
      <w:bookmarkStart w:id="76" w:name="_Toc265"/>
      <w:r>
        <w:rPr>
          <w:lang w:val="en-US" w:eastAsia="zh-CN"/>
        </w:rPr>
        <w:t>Just one resource availability indication either from MCG or from SCG is expected for an IAB-DU soft symbol of a</w:t>
      </w:r>
      <w:r>
        <w:rPr>
          <w:rFonts w:hint="eastAsia"/>
          <w:lang w:val="en-US" w:eastAsia="zh-CN"/>
        </w:rPr>
        <w:t>n</w:t>
      </w:r>
      <w:r>
        <w:rPr>
          <w:lang w:val="en-US" w:eastAsia="zh-CN"/>
        </w:rPr>
        <w:t xml:space="preserve"> IAB DU cell.</w:t>
      </w:r>
      <w:bookmarkEnd w:id="72"/>
      <w:bookmarkEnd w:id="73"/>
      <w:bookmarkEnd w:id="74"/>
      <w:bookmarkEnd w:id="75"/>
      <w:bookmarkEnd w:id="76"/>
    </w:p>
    <w:p>
      <w:pPr>
        <w:pStyle w:val="24"/>
        <w:numPr>
          <w:ilvl w:val="255"/>
          <w:numId w:val="0"/>
        </w:numPr>
        <w:spacing w:before="120" w:after="120"/>
        <w:rPr>
          <w:lang w:val="en-US" w:eastAsia="zh-CN"/>
        </w:rPr>
      </w:pPr>
    </w:p>
    <w:p>
      <w:pPr>
        <w:spacing w:before="120" w:after="120"/>
        <w:rPr>
          <w:sz w:val="20"/>
        </w:rPr>
      </w:pPr>
      <w:r>
        <w:rPr>
          <w:sz w:val="20"/>
        </w:rPr>
        <w:t>With regard to inter-donor CU multi-parent scenarios and intra-donor CU multi-parent scenarios, we suppose both scenarios have high layer semi-static resource configuration/coordination between two parent nodes, and for solutions targeting for the two scheduling collisions mentioned above, they are more relevant to physical layer solutions, which is independent on whether it is an inter-donor or intra-donor CU multi-parent scenarios. So separate solutions for resource coordination in case of inter-donor CU multi-parent scenarios are not needed.</w:t>
      </w:r>
    </w:p>
    <w:p>
      <w:pPr>
        <w:pStyle w:val="24"/>
        <w:spacing w:before="120" w:after="120"/>
        <w:rPr>
          <w:lang w:val="en-US" w:eastAsia="zh-CN"/>
        </w:rPr>
      </w:pPr>
      <w:bookmarkStart w:id="77" w:name="_Toc68678826"/>
      <w:bookmarkStart w:id="78" w:name="_Toc30052"/>
      <w:bookmarkStart w:id="79" w:name="_Toc8572"/>
      <w:bookmarkStart w:id="80" w:name="_Toc20762"/>
      <w:bookmarkStart w:id="81" w:name="_Toc29802"/>
      <w:r>
        <w:rPr>
          <w:lang w:eastAsia="zh-CN"/>
        </w:rPr>
        <w:t xml:space="preserve">From RAN1 perspective, both intra-donor and inter-donor multi-parent scenarios </w:t>
      </w:r>
      <w:r>
        <w:rPr>
          <w:lang w:val="en-US" w:eastAsia="zh-CN"/>
        </w:rPr>
        <w:t>can</w:t>
      </w:r>
      <w:r>
        <w:rPr>
          <w:lang w:eastAsia="zh-CN"/>
        </w:rPr>
        <w:t xml:space="preserve"> be supported within a common framework</w:t>
      </w:r>
      <w:r>
        <w:rPr>
          <w:lang w:val="en-US" w:eastAsia="zh-CN"/>
        </w:rPr>
        <w:t>.</w:t>
      </w:r>
      <w:bookmarkEnd w:id="77"/>
      <w:bookmarkEnd w:id="78"/>
      <w:bookmarkEnd w:id="79"/>
      <w:bookmarkEnd w:id="80"/>
      <w:bookmarkEnd w:id="81"/>
    </w:p>
    <w:p>
      <w:pPr>
        <w:pStyle w:val="2"/>
        <w:spacing w:before="120" w:after="120"/>
        <w:ind w:left="0"/>
        <w:rPr>
          <w:rFonts w:cs="Arial"/>
          <w:szCs w:val="32"/>
        </w:rPr>
      </w:pPr>
      <w:r>
        <w:rPr>
          <w:rFonts w:cs="Arial"/>
          <w:szCs w:val="32"/>
        </w:rPr>
        <w:t>Conclusion</w:t>
      </w:r>
    </w:p>
    <w:p>
      <w:pPr>
        <w:spacing w:before="120" w:after="120"/>
        <w:rPr>
          <w:sz w:val="20"/>
        </w:rPr>
      </w:pPr>
      <w:r>
        <w:rPr>
          <w:sz w:val="20"/>
        </w:rPr>
        <w:t>According to the discussion above, we provide the following observations and proposals on resource multiplexing of IAB:</w:t>
      </w:r>
    </w:p>
    <w:p>
      <w:pPr>
        <w:pStyle w:val="12"/>
        <w:tabs>
          <w:tab w:val="clear" w:pos="0"/>
        </w:tabs>
      </w:pPr>
      <w:bookmarkStart w:id="85" w:name="_GoBack"/>
      <w:bookmarkEnd w:id="85"/>
      <w:r>
        <w:fldChar w:fldCharType="begin"/>
      </w:r>
      <w:r>
        <w:instrText xml:space="preserve">TOC \n  \t "YJ-Observation,1,sub-observation,2,3rd level observation,3" \h</w:instrText>
      </w:r>
      <w:r>
        <w:fldChar w:fldCharType="separate"/>
      </w:r>
      <w:r>
        <w:fldChar w:fldCharType="begin"/>
      </w:r>
      <w:r>
        <w:instrText xml:space="preserve"> HYPERLINK \l _Toc2780 </w:instrText>
      </w:r>
      <w:r>
        <w:fldChar w:fldCharType="separate"/>
      </w:r>
      <w:r>
        <w:rPr>
          <w:rFonts w:hint="default" w:ascii="Times New Roman" w:hAnsi="Times New Roman" w:eastAsia="宋体" w:cs="Times New Roman"/>
          <w:bCs/>
          <w:i/>
          <w:iCs/>
          <w:lang w:val="en-US" w:eastAsia="zh-CN"/>
        </w:rPr>
        <w:t xml:space="preserve">Observation 1: </w:t>
      </w:r>
      <w:r>
        <w:rPr>
          <w:rFonts w:hint="eastAsia"/>
          <w:lang w:val="en-US" w:eastAsia="zh-CN"/>
        </w:rPr>
        <w:t xml:space="preserve">If </w:t>
      </w:r>
      <w:r>
        <w:rPr>
          <w:lang w:val="en-US" w:eastAsia="zh-CN"/>
        </w:rPr>
        <w:t xml:space="preserve">the </w:t>
      </w:r>
      <w:r>
        <w:rPr>
          <w:rFonts w:hint="eastAsia"/>
          <w:lang w:val="en-US" w:eastAsia="zh-CN"/>
        </w:rPr>
        <w:t xml:space="preserve">frequency domain </w:t>
      </w:r>
      <w:r>
        <w:rPr>
          <w:lang w:val="en-US" w:eastAsia="zh-CN"/>
        </w:rPr>
        <w:t>granularity</w:t>
      </w:r>
      <w:r>
        <w:rPr>
          <w:rFonts w:hint="eastAsia"/>
          <w:lang w:val="en-US" w:eastAsia="zh-CN"/>
        </w:rPr>
        <w:t xml:space="preserve"> of one RB set were defined as N RBGs</w:t>
      </w:r>
      <w:r>
        <w:rPr>
          <w:lang w:val="en-US" w:eastAsia="zh-CN"/>
        </w:rPr>
        <w:t>, it is difficult to ensure that the boundary of the RB set is aligned with the boundary of RBG or a set of RBG for child MT or access UE frequency resource allocation.</w:t>
      </w:r>
      <w:r>
        <w:fldChar w:fldCharType="end"/>
      </w:r>
    </w:p>
    <w:p>
      <w:pPr>
        <w:pStyle w:val="12"/>
        <w:tabs>
          <w:tab w:val="clear" w:pos="0"/>
        </w:tabs>
      </w:pPr>
      <w:r>
        <w:fldChar w:fldCharType="begin"/>
      </w:r>
      <w:r>
        <w:instrText xml:space="preserve"> HYPERLINK \l _Toc13411 </w:instrText>
      </w:r>
      <w:r>
        <w:fldChar w:fldCharType="separate"/>
      </w:r>
      <w:r>
        <w:rPr>
          <w:rFonts w:hint="default" w:ascii="Times New Roman" w:hAnsi="Times New Roman" w:eastAsia="宋体" w:cs="Times New Roman"/>
          <w:bCs/>
          <w:i/>
          <w:iCs/>
          <w:lang w:val="en-US" w:eastAsia="zh-CN"/>
        </w:rPr>
        <w:t xml:space="preserve">Observation 2: </w:t>
      </w:r>
      <w:r>
        <w:rPr>
          <w:rFonts w:hint="eastAsia"/>
          <w:lang w:val="en-US" w:eastAsia="zh-CN"/>
        </w:rPr>
        <w:t>It may aggravate interference and resource collision if a given symbol/slot were configured with both time-domain and frequency-domain H/S/NA configuration</w:t>
      </w:r>
      <w:r>
        <w:rPr>
          <w:lang w:val="en-US" w:eastAsia="zh-CN"/>
        </w:rPr>
        <w:t>s</w:t>
      </w:r>
      <w:r>
        <w:rPr>
          <w:rFonts w:hint="eastAsia"/>
          <w:lang w:val="en-US" w:eastAsia="zh-CN"/>
        </w:rPr>
        <w:t>.</w:t>
      </w:r>
      <w:r>
        <w:fldChar w:fldCharType="end"/>
      </w:r>
    </w:p>
    <w:p>
      <w:pPr>
        <w:pStyle w:val="12"/>
        <w:tabs>
          <w:tab w:val="clear" w:pos="0"/>
        </w:tabs>
      </w:pPr>
      <w:r>
        <w:fldChar w:fldCharType="begin"/>
      </w:r>
      <w:r>
        <w:instrText xml:space="preserve"> HYPERLINK \l _Toc32571 </w:instrText>
      </w:r>
      <w:r>
        <w:fldChar w:fldCharType="separate"/>
      </w:r>
      <w:r>
        <w:rPr>
          <w:rFonts w:hint="default" w:ascii="Times New Roman" w:hAnsi="Times New Roman" w:eastAsia="宋体" w:cs="Times New Roman"/>
          <w:bCs/>
          <w:i/>
          <w:iCs/>
          <w:lang w:val="en-US" w:eastAsia="zh-CN"/>
        </w:rPr>
        <w:t xml:space="preserve">Observation 3: </w:t>
      </w:r>
      <w:r>
        <w:rPr>
          <w:rFonts w:hint="eastAsia"/>
          <w:lang w:val="en-US" w:eastAsia="zh-CN"/>
        </w:rPr>
        <w:t>There is no need to introduce a new DCI format to indicate the availability of soft resources at RB set level.</w:t>
      </w:r>
      <w:r>
        <w:fldChar w:fldCharType="end"/>
      </w:r>
    </w:p>
    <w:p>
      <w:pPr>
        <w:pStyle w:val="12"/>
        <w:tabs>
          <w:tab w:val="clear" w:pos="0"/>
        </w:tabs>
      </w:pPr>
      <w:r>
        <w:fldChar w:fldCharType="begin"/>
      </w:r>
      <w:r>
        <w:instrText xml:space="preserve"> HYPERLINK \l _Toc16798 </w:instrText>
      </w:r>
      <w:r>
        <w:fldChar w:fldCharType="separate"/>
      </w:r>
      <w:r>
        <w:rPr>
          <w:rFonts w:hint="default" w:ascii="Times New Roman" w:hAnsi="Times New Roman" w:eastAsia="宋体" w:cs="Times New Roman"/>
          <w:bCs/>
          <w:i/>
          <w:iCs/>
          <w:lang w:val="en-US" w:eastAsia="zh-CN"/>
        </w:rPr>
        <w:t xml:space="preserve">Observation 4: </w:t>
      </w:r>
      <w:r>
        <w:rPr>
          <w:rFonts w:hint="eastAsia"/>
          <w:lang w:val="en-US" w:eastAsia="zh-CN"/>
        </w:rPr>
        <w:t>Availability indication of soft resources at RB set level in Rel-17 IAB can be achieved by enhancing availability combination table and/or DCI format 2_5</w:t>
      </w:r>
      <w:r>
        <w:rPr>
          <w:lang w:val="en-US" w:eastAsia="zh-CN"/>
        </w:rPr>
        <w:t>.</w:t>
      </w:r>
      <w:r>
        <w:fldChar w:fldCharType="end"/>
      </w:r>
    </w:p>
    <w:p>
      <w:pPr>
        <w:pStyle w:val="12"/>
        <w:tabs>
          <w:tab w:val="clear" w:pos="0"/>
        </w:tabs>
      </w:pPr>
      <w:r>
        <w:fldChar w:fldCharType="begin"/>
      </w:r>
      <w:r>
        <w:instrText xml:space="preserve"> HYPERLINK \l _Toc26148 </w:instrText>
      </w:r>
      <w:r>
        <w:fldChar w:fldCharType="separate"/>
      </w:r>
      <w:r>
        <w:rPr>
          <w:rFonts w:hint="default" w:ascii="Times New Roman" w:hAnsi="Times New Roman" w:eastAsia="宋体" w:cs="Times New Roman"/>
          <w:bCs/>
          <w:i/>
          <w:iCs/>
          <w:lang w:val="en-US" w:eastAsia="zh-CN"/>
        </w:rPr>
        <w:t xml:space="preserve">Observation 5: </w:t>
      </w:r>
      <w:r>
        <w:rPr>
          <w:lang w:val="en-US" w:eastAsia="zh-CN"/>
        </w:rPr>
        <w:t>Semi-static H/S/NA configuration is not applicable for SDM due to time-variant channel conditions.</w:t>
      </w:r>
      <w:r>
        <w:fldChar w:fldCharType="end"/>
      </w:r>
    </w:p>
    <w:p>
      <w:pPr>
        <w:pStyle w:val="12"/>
        <w:tabs>
          <w:tab w:val="clear" w:pos="0"/>
        </w:tabs>
      </w:pPr>
      <w:r>
        <w:fldChar w:fldCharType="begin"/>
      </w:r>
      <w:r>
        <w:instrText xml:space="preserve"> HYPERLINK \l _Toc30766 </w:instrText>
      </w:r>
      <w:r>
        <w:fldChar w:fldCharType="separate"/>
      </w:r>
      <w:r>
        <w:rPr>
          <w:rFonts w:hint="default" w:ascii="Times New Roman" w:hAnsi="Times New Roman" w:eastAsia="宋体" w:cs="Times New Roman"/>
          <w:bCs/>
          <w:i/>
          <w:iCs/>
          <w:lang w:val="en-US" w:eastAsia="zh-CN"/>
        </w:rPr>
        <w:t xml:space="preserve">Observation 6: </w:t>
      </w:r>
      <w:r>
        <w:rPr>
          <w:rFonts w:hint="eastAsia"/>
          <w:lang w:val="en-US" w:eastAsia="zh-CN"/>
        </w:rPr>
        <w:t>S</w:t>
      </w:r>
      <w:r>
        <w:rPr>
          <w:rFonts w:eastAsia="宋体"/>
        </w:rPr>
        <w:t>emi-</w:t>
      </w:r>
      <w:r>
        <w:rPr>
          <w:lang w:val="en-US" w:eastAsia="zh-CN"/>
        </w:rPr>
        <w:t xml:space="preserve">static </w:t>
      </w:r>
      <w:r>
        <w:rPr>
          <w:rFonts w:hint="eastAsia"/>
          <w:lang w:val="en-US" w:eastAsia="zh-CN"/>
        </w:rPr>
        <w:t xml:space="preserve">IAB DU </w:t>
      </w:r>
      <w:r>
        <w:rPr>
          <w:rFonts w:eastAsia="宋体"/>
          <w:lang w:val="en-US" w:eastAsia="zh-CN"/>
        </w:rPr>
        <w:t xml:space="preserve">resource </w:t>
      </w:r>
      <w:r>
        <w:rPr>
          <w:rFonts w:eastAsia="宋体"/>
        </w:rPr>
        <w:t>configuration</w:t>
      </w:r>
      <w:r>
        <w:rPr>
          <w:rFonts w:hint="eastAsia"/>
          <w:lang w:val="en-US" w:eastAsia="zh-CN"/>
        </w:rPr>
        <w:t xml:space="preserve"> conflict in DC scenarios have been avoided since an IAB node can only</w:t>
      </w:r>
      <w:r>
        <w:rPr>
          <w:rFonts w:hint="eastAsia"/>
        </w:rPr>
        <w:t xml:space="preserve"> have F1-AP interface with only one CU</w:t>
      </w:r>
      <w:r>
        <w:rPr>
          <w:rFonts w:hint="eastAsia"/>
          <w:lang w:val="en-US" w:eastAsia="zh-CN"/>
        </w:rPr>
        <w:t>.</w:t>
      </w:r>
      <w:r>
        <w:fldChar w:fldCharType="end"/>
      </w:r>
    </w:p>
    <w:p>
      <w:pPr>
        <w:spacing w:before="120" w:after="120"/>
        <w:rPr>
          <w:sz w:val="20"/>
        </w:rPr>
      </w:pPr>
      <w:r>
        <w:fldChar w:fldCharType="end"/>
      </w:r>
    </w:p>
    <w:p>
      <w:pPr>
        <w:pStyle w:val="12"/>
        <w:tabs>
          <w:tab w:val="clear" w:pos="0"/>
        </w:tabs>
      </w:pPr>
      <w:r>
        <w:fldChar w:fldCharType="begin"/>
      </w:r>
      <w:r>
        <w:instrText xml:space="preserve">TOC \n  \t "YJ-Proposal,1,sub-proposal,2,3rd level proposal,3" \h</w:instrText>
      </w:r>
      <w:r>
        <w:fldChar w:fldCharType="separate"/>
      </w:r>
      <w:r>
        <w:fldChar w:fldCharType="begin"/>
      </w:r>
      <w:r>
        <w:instrText xml:space="preserve"> HYPERLINK \l _Toc4076 </w:instrText>
      </w:r>
      <w:r>
        <w:fldChar w:fldCharType="separate"/>
      </w:r>
      <w:r>
        <w:rPr>
          <w:rFonts w:hint="default" w:ascii="Times New Roman" w:hAnsi="Times New Roman" w:eastAsia="宋体" w:cs="Times New Roman"/>
          <w:bCs/>
          <w:i/>
          <w:iCs/>
          <w:lang w:val="en-US" w:eastAsia="zh-CN"/>
        </w:rPr>
        <w:t xml:space="preserve">Proposal 1: </w:t>
      </w:r>
      <w:r>
        <w:t xml:space="preserve">H/S/NA in frequency-domain </w:t>
      </w:r>
      <w:r>
        <w:rPr>
          <w:rFonts w:hint="eastAsia"/>
          <w:lang w:val="en-US" w:eastAsia="zh-CN"/>
        </w:rPr>
        <w:t>should</w:t>
      </w:r>
      <w:r>
        <w:t xml:space="preserve"> be configured per RB set</w:t>
      </w:r>
      <w:r>
        <w:rPr>
          <w:rFonts w:hint="eastAsia"/>
          <w:lang w:val="en-US" w:eastAsia="zh-CN"/>
        </w:rPr>
        <w:t>, t</w:t>
      </w:r>
      <w:r>
        <w:rPr>
          <w:lang w:val="en-US" w:eastAsia="zh-CN"/>
        </w:rPr>
        <w:t xml:space="preserve">he </w:t>
      </w:r>
      <w:r>
        <w:rPr>
          <w:rFonts w:hint="eastAsia"/>
          <w:lang w:val="en-US" w:eastAsia="zh-CN"/>
        </w:rPr>
        <w:t xml:space="preserve">frequency domain </w:t>
      </w:r>
      <w:r>
        <w:rPr>
          <w:lang w:val="en-US" w:eastAsia="zh-CN"/>
        </w:rPr>
        <w:t>granularity</w:t>
      </w:r>
      <w:r>
        <w:rPr>
          <w:rFonts w:hint="eastAsia"/>
          <w:lang w:val="en-US" w:eastAsia="zh-CN"/>
        </w:rPr>
        <w:t xml:space="preserve"> of a</w:t>
      </w:r>
      <w:r>
        <w:rPr>
          <w:lang w:val="en-US" w:eastAsia="zh-CN"/>
        </w:rPr>
        <w:t xml:space="preserve">n RB set </w:t>
      </w:r>
      <w:r>
        <w:rPr>
          <w:rFonts w:hint="eastAsia"/>
          <w:lang w:val="en-US" w:eastAsia="zh-CN"/>
        </w:rPr>
        <w:t>is configured as N PRBs</w:t>
      </w:r>
      <w:r>
        <w:rPr>
          <w:lang w:val="en-US" w:eastAsia="zh-CN"/>
        </w:rPr>
        <w:t>.</w:t>
      </w:r>
      <w:r>
        <w:fldChar w:fldCharType="end"/>
      </w:r>
    </w:p>
    <w:p>
      <w:pPr>
        <w:pStyle w:val="12"/>
        <w:tabs>
          <w:tab w:val="clear" w:pos="0"/>
        </w:tabs>
      </w:pPr>
      <w:r>
        <w:fldChar w:fldCharType="begin"/>
      </w:r>
      <w:r>
        <w:instrText xml:space="preserve"> HYPERLINK \l _Toc6940 </w:instrText>
      </w:r>
      <w:r>
        <w:fldChar w:fldCharType="separate"/>
      </w:r>
      <w:r>
        <w:rPr>
          <w:rFonts w:hint="default" w:ascii="Times New Roman" w:hAnsi="Times New Roman" w:eastAsia="宋体" w:cs="Times New Roman"/>
          <w:bCs/>
          <w:i/>
          <w:iCs/>
          <w:lang w:val="en-US" w:eastAsia="zh-CN"/>
        </w:rPr>
        <w:t xml:space="preserve">Proposal 2: </w:t>
      </w:r>
      <w:r>
        <w:t>For a given symbol/slot of an IAB DU cell, IAB</w:t>
      </w:r>
      <w:r>
        <w:rPr>
          <w:lang w:val="en-US" w:eastAsia="zh-CN"/>
        </w:rPr>
        <w:t xml:space="preserve"> node can be</w:t>
      </w:r>
      <w:r>
        <w:t xml:space="preserve"> provided with either time-domain H/S/NA configuration or frequency</w:t>
      </w:r>
      <w:r>
        <w:rPr>
          <w:lang w:val="en-US" w:eastAsia="zh-CN"/>
        </w:rPr>
        <w:t>-</w:t>
      </w:r>
      <w:r>
        <w:t>domain H/S/NA</w:t>
      </w:r>
      <w:r>
        <w:rPr>
          <w:lang w:val="en-US" w:eastAsia="zh-CN"/>
        </w:rPr>
        <w:t xml:space="preserve"> </w:t>
      </w:r>
      <w:r>
        <w:t>configuration</w:t>
      </w:r>
      <w:r>
        <w:rPr>
          <w:lang w:val="en-US" w:eastAsia="zh-CN"/>
        </w:rPr>
        <w:t>.</w:t>
      </w:r>
      <w:r>
        <w:fldChar w:fldCharType="end"/>
      </w:r>
    </w:p>
    <w:p>
      <w:pPr>
        <w:pStyle w:val="12"/>
        <w:tabs>
          <w:tab w:val="clear" w:pos="0"/>
        </w:tabs>
      </w:pPr>
      <w:r>
        <w:fldChar w:fldCharType="begin"/>
      </w:r>
      <w:r>
        <w:instrText xml:space="preserve"> HYPERLINK \l _Toc7762 </w:instrText>
      </w:r>
      <w:r>
        <w:fldChar w:fldCharType="separate"/>
      </w:r>
      <w:r>
        <w:rPr>
          <w:rFonts w:hint="default" w:ascii="Times New Roman" w:hAnsi="Times New Roman" w:eastAsia="宋体" w:cs="Times New Roman"/>
          <w:bCs/>
          <w:i/>
          <w:iCs/>
          <w:lang w:val="en-US" w:eastAsia="zh-CN"/>
        </w:rPr>
        <w:t xml:space="preserve">Proposal 3: </w:t>
      </w:r>
      <w:r>
        <w:rPr>
          <w:rFonts w:hint="eastAsia"/>
          <w:lang w:val="en-US" w:eastAsia="zh-CN"/>
        </w:rPr>
        <w:t>The IAB node is aware of the H/S/NA resource configuration in frequency-domain of its child IAB DU.</w:t>
      </w:r>
      <w:r>
        <w:fldChar w:fldCharType="end"/>
      </w:r>
    </w:p>
    <w:p>
      <w:pPr>
        <w:pStyle w:val="12"/>
        <w:tabs>
          <w:tab w:val="clear" w:pos="0"/>
        </w:tabs>
      </w:pPr>
      <w:r>
        <w:fldChar w:fldCharType="begin"/>
      </w:r>
      <w:r>
        <w:instrText xml:space="preserve"> HYPERLINK \l _Toc19338 </w:instrText>
      </w:r>
      <w:r>
        <w:fldChar w:fldCharType="separate"/>
      </w:r>
      <w:r>
        <w:rPr>
          <w:rFonts w:hint="default" w:ascii="Times New Roman" w:hAnsi="Times New Roman" w:eastAsia="宋体" w:cs="Times New Roman"/>
          <w:bCs/>
          <w:i/>
          <w:iCs/>
          <w:lang w:val="en-US"/>
        </w:rPr>
        <w:t xml:space="preserve">Proposal 4: </w:t>
      </w:r>
      <w:r>
        <w:rPr>
          <w:rFonts w:hint="eastAsia"/>
          <w:lang w:val="en-US" w:eastAsia="zh-CN"/>
        </w:rPr>
        <w:t>Rel-17 IAB can reuse Rel-16 availability combination table or configure new availability combination table(s) to support availability indication of soft resources at RB set level</w:t>
      </w:r>
      <w:r>
        <w:rPr>
          <w:lang w:val="en-US"/>
        </w:rPr>
        <w:t>.</w:t>
      </w:r>
      <w:r>
        <w:fldChar w:fldCharType="end"/>
      </w:r>
    </w:p>
    <w:p>
      <w:pPr>
        <w:pStyle w:val="12"/>
        <w:tabs>
          <w:tab w:val="clear" w:pos="0"/>
        </w:tabs>
      </w:pPr>
      <w:r>
        <w:fldChar w:fldCharType="begin"/>
      </w:r>
      <w:r>
        <w:instrText xml:space="preserve"> HYPERLINK \l _Toc28614 </w:instrText>
      </w:r>
      <w:r>
        <w:fldChar w:fldCharType="separate"/>
      </w:r>
      <w:r>
        <w:rPr>
          <w:rFonts w:hint="default" w:ascii="Times New Roman" w:hAnsi="Times New Roman" w:eastAsia="宋体" w:cs="Times New Roman"/>
          <w:bCs/>
          <w:i/>
          <w:iCs/>
          <w:lang w:val="en-US"/>
        </w:rPr>
        <w:t xml:space="preserve">Proposal 5: </w:t>
      </w:r>
      <w:r>
        <w:rPr>
          <w:rFonts w:hint="eastAsia"/>
          <w:lang w:val="en-US" w:eastAsia="zh-CN"/>
        </w:rPr>
        <w:t>Support the use of independent availability combination index field in DCI format 2_5 to indicate availability of soft resources at RB set level</w:t>
      </w:r>
      <w:r>
        <w:rPr>
          <w:lang w:val="en-US"/>
        </w:rPr>
        <w:t>.</w:t>
      </w:r>
      <w:r>
        <w:fldChar w:fldCharType="end"/>
      </w:r>
    </w:p>
    <w:p>
      <w:pPr>
        <w:pStyle w:val="12"/>
        <w:tabs>
          <w:tab w:val="clear" w:pos="0"/>
        </w:tabs>
      </w:pPr>
      <w:r>
        <w:fldChar w:fldCharType="begin"/>
      </w:r>
      <w:r>
        <w:instrText xml:space="preserve"> HYPERLINK \l _Toc19990 </w:instrText>
      </w:r>
      <w:r>
        <w:fldChar w:fldCharType="separate"/>
      </w:r>
      <w:r>
        <w:rPr>
          <w:rFonts w:hint="default" w:ascii="Times New Roman" w:hAnsi="Times New Roman" w:eastAsia="宋体" w:cs="Times New Roman"/>
          <w:bCs/>
          <w:i/>
          <w:iCs/>
          <w:lang w:val="en-US" w:eastAsia="zh-CN"/>
        </w:rPr>
        <w:t xml:space="preserve">Proposal 6: </w:t>
      </w:r>
      <w:r>
        <w:t>Extension of H/S/NA resource indication to the spatial domain is not supported.</w:t>
      </w:r>
      <w:r>
        <w:fldChar w:fldCharType="end"/>
      </w:r>
    </w:p>
    <w:p>
      <w:pPr>
        <w:pStyle w:val="12"/>
        <w:tabs>
          <w:tab w:val="clear" w:pos="0"/>
        </w:tabs>
      </w:pPr>
      <w:r>
        <w:fldChar w:fldCharType="begin"/>
      </w:r>
      <w:r>
        <w:instrText xml:space="preserve"> HYPERLINK \l _Toc9738 </w:instrText>
      </w:r>
      <w:r>
        <w:fldChar w:fldCharType="separate"/>
      </w:r>
      <w:r>
        <w:rPr>
          <w:rFonts w:hint="default" w:ascii="Times New Roman" w:hAnsi="Times New Roman" w:eastAsia="宋体" w:cs="Times New Roman"/>
          <w:bCs/>
          <w:i/>
          <w:iCs/>
          <w:lang w:val="en-US" w:eastAsia="zh-CN"/>
        </w:rPr>
        <w:t xml:space="preserve">Proposal 7: </w:t>
      </w:r>
      <w:r>
        <w:rPr>
          <w:rFonts w:hint="eastAsia"/>
          <w:lang w:val="en-US" w:eastAsia="zh-CN"/>
        </w:rPr>
        <w:t>To enable simultaneous operation at the IAB node, dynamic indication of beams which will be used by parent backhaul link (e.g. parent node DU Tx beam, IAB-MT Tx beam) can be supported, signaling similar as DCI format 2_0/2_5 could be a star</w:t>
      </w:r>
      <w:r>
        <w:rPr>
          <w:lang w:val="en-US" w:eastAsia="zh-CN"/>
        </w:rPr>
        <w:t>t</w:t>
      </w:r>
      <w:r>
        <w:rPr>
          <w:rFonts w:hint="eastAsia"/>
          <w:lang w:val="en-US" w:eastAsia="zh-CN"/>
        </w:rPr>
        <w:t>ing point for such indication</w:t>
      </w:r>
      <w:r>
        <w:rPr>
          <w:lang w:val="en-US" w:eastAsia="zh-CN"/>
        </w:rPr>
        <w:t>:</w:t>
      </w:r>
      <w:r>
        <w:fldChar w:fldCharType="end"/>
      </w:r>
    </w:p>
    <w:p>
      <w:pPr>
        <w:pStyle w:val="14"/>
        <w:tabs>
          <w:tab w:val="right" w:pos="9660"/>
          <w:tab w:val="clear" w:pos="420"/>
        </w:tabs>
      </w:pPr>
      <w:r>
        <w:fldChar w:fldCharType="begin"/>
      </w:r>
      <w:r>
        <w:instrText xml:space="preserve"> HYPERLINK \l _Toc2485 </w:instrText>
      </w:r>
      <w:r>
        <w:fldChar w:fldCharType="separate"/>
      </w:r>
      <w:r>
        <w:rPr>
          <w:rFonts w:hint="default" w:ascii="Arial" w:hAnsi="Arial" w:cs="Arial"/>
          <w:lang w:val="en-US" w:eastAsia="zh-CN"/>
        </w:rPr>
        <w:t xml:space="preserve">• </w:t>
      </w:r>
      <w:r>
        <w:rPr>
          <w:lang w:val="en-US" w:eastAsia="zh-CN"/>
        </w:rPr>
        <w:t>FFS: how to define/configure beam availability combination</w:t>
      </w:r>
      <w:r>
        <w:fldChar w:fldCharType="end"/>
      </w:r>
    </w:p>
    <w:p>
      <w:pPr>
        <w:pStyle w:val="14"/>
        <w:tabs>
          <w:tab w:val="right" w:pos="9660"/>
          <w:tab w:val="clear" w:pos="420"/>
        </w:tabs>
      </w:pPr>
      <w:r>
        <w:fldChar w:fldCharType="begin"/>
      </w:r>
      <w:r>
        <w:instrText xml:space="preserve"> HYPERLINK \l _Toc3985 </w:instrText>
      </w:r>
      <w:r>
        <w:fldChar w:fldCharType="separate"/>
      </w:r>
      <w:r>
        <w:rPr>
          <w:rFonts w:hint="default" w:ascii="Arial" w:hAnsi="Arial" w:cs="Arial"/>
          <w:lang w:val="en-US" w:eastAsia="zh-CN"/>
        </w:rPr>
        <w:t xml:space="preserve">• </w:t>
      </w:r>
      <w:r>
        <w:rPr>
          <w:rFonts w:hint="eastAsia"/>
          <w:lang w:val="en-US" w:eastAsia="zh-CN"/>
        </w:rPr>
        <w:t xml:space="preserve">FFS: </w:t>
      </w:r>
      <w:r>
        <w:rPr>
          <w:lang w:val="en-US" w:eastAsia="zh-CN"/>
        </w:rPr>
        <w:t>time domain granularity of beam availability indication</w:t>
      </w:r>
      <w:r>
        <w:fldChar w:fldCharType="end"/>
      </w:r>
    </w:p>
    <w:p>
      <w:pPr>
        <w:pStyle w:val="12"/>
        <w:tabs>
          <w:tab w:val="clear" w:pos="0"/>
        </w:tabs>
      </w:pPr>
      <w:r>
        <w:fldChar w:fldCharType="begin"/>
      </w:r>
      <w:r>
        <w:instrText xml:space="preserve"> HYPERLINK \l _Toc20757 </w:instrText>
      </w:r>
      <w:r>
        <w:fldChar w:fldCharType="separate"/>
      </w:r>
      <w:r>
        <w:rPr>
          <w:rFonts w:hint="default" w:ascii="Times New Roman" w:hAnsi="Times New Roman" w:eastAsia="宋体" w:cs="Times New Roman"/>
          <w:bCs/>
          <w:i/>
          <w:iCs/>
          <w:lang w:val="en-US" w:eastAsia="zh-CN"/>
        </w:rPr>
        <w:t xml:space="preserve">Proposal 8: </w:t>
      </w:r>
      <w:r>
        <w:rPr>
          <w:rFonts w:hint="eastAsia"/>
          <w:lang w:val="en-US" w:eastAsia="zh-CN"/>
        </w:rPr>
        <w:t>To minimize the transmission direction conflict at the IAB MT side, the TDD configuration from different parent nodes are assumed not conflicted for intra-band inter-carrier DC.</w:t>
      </w:r>
      <w:r>
        <w:fldChar w:fldCharType="end"/>
      </w:r>
    </w:p>
    <w:p>
      <w:pPr>
        <w:pStyle w:val="12"/>
        <w:tabs>
          <w:tab w:val="clear" w:pos="0"/>
        </w:tabs>
      </w:pPr>
      <w:r>
        <w:fldChar w:fldCharType="begin"/>
      </w:r>
      <w:r>
        <w:instrText xml:space="preserve"> HYPERLINK \l _Toc8755 </w:instrText>
      </w:r>
      <w:r>
        <w:fldChar w:fldCharType="separate"/>
      </w:r>
      <w:r>
        <w:rPr>
          <w:rFonts w:hint="default" w:ascii="Times New Roman" w:hAnsi="Times New Roman" w:eastAsia="宋体" w:cs="Times New Roman"/>
          <w:bCs/>
          <w:i/>
          <w:iCs/>
          <w:lang w:val="en-US" w:eastAsia="zh-CN"/>
        </w:rPr>
        <w:t xml:space="preserve">Proposal 9: </w:t>
      </w:r>
      <w:r>
        <w:rPr>
          <w:rFonts w:hint="eastAsia"/>
          <w:lang w:val="en-US" w:eastAsia="zh-CN"/>
        </w:rPr>
        <w:t xml:space="preserve">In DC operation, IAB MT is not expected to be </w:t>
      </w:r>
      <w:r>
        <w:rPr>
          <w:lang w:val="en-US" w:eastAsia="zh-CN"/>
        </w:rPr>
        <w:t>configured and/or indicated different transmission directions</w:t>
      </w:r>
      <w:r>
        <w:rPr>
          <w:rFonts w:hint="eastAsia"/>
          <w:lang w:val="en-US" w:eastAsia="zh-CN"/>
        </w:rPr>
        <w:t xml:space="preserve"> between the reference cell in MCG and the reference cell in SCG</w:t>
      </w:r>
      <w:r>
        <w:fldChar w:fldCharType="end"/>
      </w:r>
    </w:p>
    <w:p>
      <w:pPr>
        <w:pStyle w:val="12"/>
        <w:tabs>
          <w:tab w:val="clear" w:pos="0"/>
        </w:tabs>
      </w:pPr>
      <w:r>
        <w:fldChar w:fldCharType="begin"/>
      </w:r>
      <w:r>
        <w:instrText xml:space="preserve"> HYPERLINK \l _Toc265 </w:instrText>
      </w:r>
      <w:r>
        <w:fldChar w:fldCharType="separate"/>
      </w:r>
      <w:r>
        <w:rPr>
          <w:rFonts w:hint="default" w:ascii="Times New Roman" w:hAnsi="Times New Roman" w:eastAsia="宋体" w:cs="Times New Roman"/>
          <w:bCs/>
          <w:i/>
          <w:iCs/>
          <w:lang w:val="en-US" w:eastAsia="zh-CN"/>
        </w:rPr>
        <w:t xml:space="preserve">Proposal 10: </w:t>
      </w:r>
      <w:r>
        <w:rPr>
          <w:lang w:val="en-US" w:eastAsia="zh-CN"/>
        </w:rPr>
        <w:t>Just one resource availability indication either from MCG or from SCG is expected for an IAB-DU soft symbol of a</w:t>
      </w:r>
      <w:r>
        <w:rPr>
          <w:rFonts w:hint="eastAsia"/>
          <w:lang w:val="en-US" w:eastAsia="zh-CN"/>
        </w:rPr>
        <w:t>n</w:t>
      </w:r>
      <w:r>
        <w:rPr>
          <w:lang w:val="en-US" w:eastAsia="zh-CN"/>
        </w:rPr>
        <w:t xml:space="preserve"> IAB DU cell.</w:t>
      </w:r>
      <w:r>
        <w:fldChar w:fldCharType="end"/>
      </w:r>
    </w:p>
    <w:p>
      <w:pPr>
        <w:pStyle w:val="12"/>
        <w:tabs>
          <w:tab w:val="clear" w:pos="0"/>
        </w:tabs>
      </w:pPr>
      <w:r>
        <w:fldChar w:fldCharType="begin"/>
      </w:r>
      <w:r>
        <w:instrText xml:space="preserve"> HYPERLINK \l _Toc29802 </w:instrText>
      </w:r>
      <w:r>
        <w:fldChar w:fldCharType="separate"/>
      </w:r>
      <w:r>
        <w:rPr>
          <w:rFonts w:hint="default" w:ascii="Times New Roman" w:hAnsi="Times New Roman" w:eastAsia="宋体" w:cs="Times New Roman"/>
          <w:bCs/>
          <w:i/>
          <w:iCs/>
          <w:lang w:val="en-US" w:eastAsia="zh-CN"/>
        </w:rPr>
        <w:t xml:space="preserve">Proposal 11: </w:t>
      </w:r>
      <w:r>
        <w:rPr>
          <w:lang w:eastAsia="zh-CN"/>
        </w:rPr>
        <w:t xml:space="preserve">From RAN1 perspective, both intra-donor and inter-donor multi-parent scenarios </w:t>
      </w:r>
      <w:r>
        <w:rPr>
          <w:lang w:val="en-US" w:eastAsia="zh-CN"/>
        </w:rPr>
        <w:t>can</w:t>
      </w:r>
      <w:r>
        <w:rPr>
          <w:lang w:eastAsia="zh-CN"/>
        </w:rPr>
        <w:t xml:space="preserve"> be supported within a common framework</w:t>
      </w:r>
      <w:r>
        <w:rPr>
          <w:lang w:val="en-US" w:eastAsia="zh-CN"/>
        </w:rPr>
        <w:t>.</w:t>
      </w:r>
      <w:r>
        <w:fldChar w:fldCharType="end"/>
      </w:r>
    </w:p>
    <w:p>
      <w:pPr>
        <w:spacing w:before="120" w:after="120"/>
        <w:rPr>
          <w:sz w:val="20"/>
        </w:rPr>
      </w:pPr>
      <w:r>
        <w:fldChar w:fldCharType="end"/>
      </w:r>
    </w:p>
    <w:p>
      <w:pPr>
        <w:pStyle w:val="2"/>
        <w:spacing w:before="120" w:after="120"/>
        <w:ind w:left="0"/>
        <w:rPr>
          <w:rFonts w:cs="Arial"/>
          <w:szCs w:val="32"/>
        </w:rPr>
      </w:pPr>
      <w:r>
        <w:rPr>
          <w:rFonts w:cs="Arial"/>
          <w:szCs w:val="32"/>
        </w:rPr>
        <w:t>References</w:t>
      </w:r>
    </w:p>
    <w:p>
      <w:pPr>
        <w:pStyle w:val="29"/>
        <w:spacing w:before="120" w:after="120"/>
        <w:ind w:left="0" w:firstLine="0"/>
        <w:rPr>
          <w:sz w:val="20"/>
          <w:szCs w:val="20"/>
        </w:rPr>
      </w:pPr>
      <w:bookmarkStart w:id="82" w:name="_Ref17466"/>
      <w:bookmarkStart w:id="83" w:name="_Ref16505925"/>
      <w:bookmarkStart w:id="84" w:name="_Ref6480"/>
      <w:r>
        <w:rPr>
          <w:bCs/>
          <w:sz w:val="20"/>
          <w:szCs w:val="20"/>
        </w:rPr>
        <w:t>Chair's Notes RAN1#104b-e final</w:t>
      </w:r>
    </w:p>
    <w:bookmarkEnd w:id="82"/>
    <w:bookmarkEnd w:id="83"/>
    <w:bookmarkEnd w:id="84"/>
    <w:p>
      <w:pPr>
        <w:spacing w:beforeLines="0" w:afterLines="0"/>
        <w:jc w:val="left"/>
        <w:rPr>
          <w:sz w:val="20"/>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spacing w:before="120" w:after="12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v:fill on="f" focussize="0,0"/>
              <v:stroke on="f" weight="0.5pt"/>
              <v:imagedata o:title=""/>
              <o:lock v:ext="edit" aspectratio="f"/>
              <v:textbox inset="0mm,0mm,0mm,0mm" style="mso-fit-shape-to-text:t;">
                <w:txbxContent>
                  <w:p>
                    <w:pPr>
                      <w:pStyle w:val="10"/>
                      <w:spacing w:before="120" w:after="12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2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1">
    <w:nsid w:val="B15F0BA4"/>
    <w:multiLevelType w:val="singleLevel"/>
    <w:tmpl w:val="B15F0BA4"/>
    <w:lvl w:ilvl="0" w:tentative="0">
      <w:start w:val="1"/>
      <w:numFmt w:val="bullet"/>
      <w:pStyle w:val="27"/>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24"/>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E7892B5F"/>
    <w:multiLevelType w:val="multilevel"/>
    <w:tmpl w:val="E7892B5F"/>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Arial" w:hAnsi="Arial" w:cs="Arial"/>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62B1A8B"/>
    <w:multiLevelType w:val="multilevel"/>
    <w:tmpl w:val="162B1A8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29"/>
      <w:lvlText w:val="[%1]"/>
      <w:lvlJc w:val="left"/>
      <w:pPr>
        <w:tabs>
          <w:tab w:val="left" w:pos="360"/>
        </w:tabs>
        <w:ind w:left="360" w:hanging="360"/>
      </w:pPr>
    </w:lvl>
  </w:abstractNum>
  <w:abstractNum w:abstractNumId="7">
    <w:nsid w:val="508BE803"/>
    <w:multiLevelType w:val="singleLevel"/>
    <w:tmpl w:val="508BE803"/>
    <w:lvl w:ilvl="0" w:tentative="0">
      <w:start w:val="1"/>
      <w:numFmt w:val="bullet"/>
      <w:pStyle w:val="28"/>
      <w:lvlText w:val="-"/>
      <w:lvlJc w:val="left"/>
      <w:pPr>
        <w:ind w:left="420" w:hanging="420"/>
      </w:pPr>
      <w:rPr>
        <w:rFonts w:hint="default" w:ascii="Arial" w:hAnsi="Arial" w:cs="Arial"/>
      </w:rPr>
    </w:lvl>
  </w:abstractNum>
  <w:abstractNum w:abstractNumId="8">
    <w:nsid w:val="7DC436CD"/>
    <w:multiLevelType w:val="singleLevel"/>
    <w:tmpl w:val="7DC436CD"/>
    <w:lvl w:ilvl="0" w:tentative="0">
      <w:start w:val="1"/>
      <w:numFmt w:val="bullet"/>
      <w:pStyle w:val="25"/>
      <w:lvlText w:val="•"/>
      <w:lvlJc w:val="left"/>
      <w:pPr>
        <w:tabs>
          <w:tab w:val="left" w:pos="420"/>
        </w:tabs>
        <w:ind w:left="420" w:hanging="378"/>
      </w:pPr>
      <w:rPr>
        <w:rFonts w:hint="default" w:ascii="Arial" w:hAnsi="Arial" w:cs="Arial"/>
      </w:rPr>
    </w:lvl>
  </w:abstractNum>
  <w:num w:numId="1">
    <w:abstractNumId w:val="4"/>
  </w:num>
  <w:num w:numId="2">
    <w:abstractNumId w:val="0"/>
  </w:num>
  <w:num w:numId="3">
    <w:abstractNumId w:val="2"/>
  </w:num>
  <w:num w:numId="4">
    <w:abstractNumId w:val="8"/>
  </w:num>
  <w:num w:numId="5">
    <w:abstractNumId w:val="1"/>
  </w:num>
  <w:num w:numId="6">
    <w:abstractNumId w:val="7"/>
  </w:num>
  <w:num w:numId="7">
    <w:abstractNumId w:val="6"/>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54BC"/>
    <w:rsid w:val="00092374"/>
    <w:rsid w:val="000B2976"/>
    <w:rsid w:val="00101583"/>
    <w:rsid w:val="00131276"/>
    <w:rsid w:val="001328F6"/>
    <w:rsid w:val="001438ED"/>
    <w:rsid w:val="00172A27"/>
    <w:rsid w:val="00195A3C"/>
    <w:rsid w:val="001C37AC"/>
    <w:rsid w:val="00213BB6"/>
    <w:rsid w:val="00260149"/>
    <w:rsid w:val="002F6018"/>
    <w:rsid w:val="003270E2"/>
    <w:rsid w:val="0037726C"/>
    <w:rsid w:val="00383A4D"/>
    <w:rsid w:val="004209E3"/>
    <w:rsid w:val="00463C47"/>
    <w:rsid w:val="004B042F"/>
    <w:rsid w:val="004B0544"/>
    <w:rsid w:val="00524B78"/>
    <w:rsid w:val="005478E8"/>
    <w:rsid w:val="005B065E"/>
    <w:rsid w:val="00637848"/>
    <w:rsid w:val="006F0DB0"/>
    <w:rsid w:val="00775067"/>
    <w:rsid w:val="00830169"/>
    <w:rsid w:val="00897D1C"/>
    <w:rsid w:val="008D11CE"/>
    <w:rsid w:val="0095154E"/>
    <w:rsid w:val="0095347B"/>
    <w:rsid w:val="0096044C"/>
    <w:rsid w:val="00991FDE"/>
    <w:rsid w:val="009B66B6"/>
    <w:rsid w:val="00A03342"/>
    <w:rsid w:val="00AE3454"/>
    <w:rsid w:val="00AE40F2"/>
    <w:rsid w:val="00BF060B"/>
    <w:rsid w:val="00C16AF2"/>
    <w:rsid w:val="00C25AF2"/>
    <w:rsid w:val="00C266BC"/>
    <w:rsid w:val="00C545F1"/>
    <w:rsid w:val="00C6793D"/>
    <w:rsid w:val="00CA568F"/>
    <w:rsid w:val="00CA7119"/>
    <w:rsid w:val="00CB5143"/>
    <w:rsid w:val="00CE13C5"/>
    <w:rsid w:val="00D11D25"/>
    <w:rsid w:val="00D17949"/>
    <w:rsid w:val="00D24C6C"/>
    <w:rsid w:val="00D26197"/>
    <w:rsid w:val="00D6168B"/>
    <w:rsid w:val="00DA4B6A"/>
    <w:rsid w:val="00E370F2"/>
    <w:rsid w:val="00E37D88"/>
    <w:rsid w:val="00EB3F2A"/>
    <w:rsid w:val="00EB4EC5"/>
    <w:rsid w:val="00EB4F8D"/>
    <w:rsid w:val="00FB48F8"/>
    <w:rsid w:val="00FC22D6"/>
    <w:rsid w:val="00FD2DE4"/>
    <w:rsid w:val="00FE3CF1"/>
    <w:rsid w:val="0175416B"/>
    <w:rsid w:val="01764F01"/>
    <w:rsid w:val="01A87802"/>
    <w:rsid w:val="01BB0452"/>
    <w:rsid w:val="01CC3E95"/>
    <w:rsid w:val="01D837AC"/>
    <w:rsid w:val="0207518B"/>
    <w:rsid w:val="024D6B6A"/>
    <w:rsid w:val="02600914"/>
    <w:rsid w:val="029B04E7"/>
    <w:rsid w:val="029C6023"/>
    <w:rsid w:val="02B76F46"/>
    <w:rsid w:val="02D802A1"/>
    <w:rsid w:val="02FB76BE"/>
    <w:rsid w:val="03073BDC"/>
    <w:rsid w:val="033B7557"/>
    <w:rsid w:val="033F44DC"/>
    <w:rsid w:val="03724FE0"/>
    <w:rsid w:val="03782650"/>
    <w:rsid w:val="03B8536C"/>
    <w:rsid w:val="04427E99"/>
    <w:rsid w:val="049153B9"/>
    <w:rsid w:val="0495036C"/>
    <w:rsid w:val="04C41AB9"/>
    <w:rsid w:val="04E00EC8"/>
    <w:rsid w:val="05051EF1"/>
    <w:rsid w:val="050F45B3"/>
    <w:rsid w:val="052641B9"/>
    <w:rsid w:val="0555228E"/>
    <w:rsid w:val="0567639C"/>
    <w:rsid w:val="056B0FB5"/>
    <w:rsid w:val="05811E02"/>
    <w:rsid w:val="05900668"/>
    <w:rsid w:val="059D1E39"/>
    <w:rsid w:val="05E078B3"/>
    <w:rsid w:val="062C127E"/>
    <w:rsid w:val="064B2A41"/>
    <w:rsid w:val="066A15C2"/>
    <w:rsid w:val="06721D26"/>
    <w:rsid w:val="069C3662"/>
    <w:rsid w:val="06DD5C75"/>
    <w:rsid w:val="06FF61E2"/>
    <w:rsid w:val="07264D3E"/>
    <w:rsid w:val="07272584"/>
    <w:rsid w:val="076D396F"/>
    <w:rsid w:val="077D0583"/>
    <w:rsid w:val="078D78BC"/>
    <w:rsid w:val="079724D0"/>
    <w:rsid w:val="07A15A71"/>
    <w:rsid w:val="082A352F"/>
    <w:rsid w:val="088A1EEE"/>
    <w:rsid w:val="0891402C"/>
    <w:rsid w:val="08C349D1"/>
    <w:rsid w:val="08C50184"/>
    <w:rsid w:val="08DB22C6"/>
    <w:rsid w:val="08DF7FEF"/>
    <w:rsid w:val="08E16393"/>
    <w:rsid w:val="08EA763A"/>
    <w:rsid w:val="08F4719E"/>
    <w:rsid w:val="08F52612"/>
    <w:rsid w:val="08F84F59"/>
    <w:rsid w:val="08FD5189"/>
    <w:rsid w:val="091D58A2"/>
    <w:rsid w:val="09634C12"/>
    <w:rsid w:val="09806FE0"/>
    <w:rsid w:val="09A177D3"/>
    <w:rsid w:val="09DD707B"/>
    <w:rsid w:val="09DD70CA"/>
    <w:rsid w:val="09F67CD5"/>
    <w:rsid w:val="0A2639D2"/>
    <w:rsid w:val="0A4F15D0"/>
    <w:rsid w:val="0A5B01BE"/>
    <w:rsid w:val="0A797C30"/>
    <w:rsid w:val="0A850856"/>
    <w:rsid w:val="0A882D8B"/>
    <w:rsid w:val="0A98567D"/>
    <w:rsid w:val="0AD34A5B"/>
    <w:rsid w:val="0AE64417"/>
    <w:rsid w:val="0B46017D"/>
    <w:rsid w:val="0B5E0A54"/>
    <w:rsid w:val="0B64353D"/>
    <w:rsid w:val="0B696C9D"/>
    <w:rsid w:val="0B7C4894"/>
    <w:rsid w:val="0B83577C"/>
    <w:rsid w:val="0B8723DA"/>
    <w:rsid w:val="0B9E71DF"/>
    <w:rsid w:val="0BA23EEF"/>
    <w:rsid w:val="0BB20D48"/>
    <w:rsid w:val="0BC008E1"/>
    <w:rsid w:val="0C2513DB"/>
    <w:rsid w:val="0C2F6748"/>
    <w:rsid w:val="0C6E0333"/>
    <w:rsid w:val="0C8E1612"/>
    <w:rsid w:val="0C9D30C2"/>
    <w:rsid w:val="0CAC2370"/>
    <w:rsid w:val="0CC0539E"/>
    <w:rsid w:val="0D177E64"/>
    <w:rsid w:val="0D202AB9"/>
    <w:rsid w:val="0D3A607E"/>
    <w:rsid w:val="0D3D7500"/>
    <w:rsid w:val="0D9D3B67"/>
    <w:rsid w:val="0D9D65F4"/>
    <w:rsid w:val="0DEF0149"/>
    <w:rsid w:val="0E172BD0"/>
    <w:rsid w:val="0E173D9D"/>
    <w:rsid w:val="0E8B1A63"/>
    <w:rsid w:val="0EC915C0"/>
    <w:rsid w:val="0FC52562"/>
    <w:rsid w:val="0FE43E40"/>
    <w:rsid w:val="0FF8007A"/>
    <w:rsid w:val="0FFB1747"/>
    <w:rsid w:val="10481210"/>
    <w:rsid w:val="10A15C4F"/>
    <w:rsid w:val="10A50104"/>
    <w:rsid w:val="10EB09DC"/>
    <w:rsid w:val="110F7F81"/>
    <w:rsid w:val="11122A47"/>
    <w:rsid w:val="111B478D"/>
    <w:rsid w:val="115B3410"/>
    <w:rsid w:val="11757502"/>
    <w:rsid w:val="119D7849"/>
    <w:rsid w:val="11A0652A"/>
    <w:rsid w:val="11D32C40"/>
    <w:rsid w:val="11D46DD9"/>
    <w:rsid w:val="1242135C"/>
    <w:rsid w:val="124D1560"/>
    <w:rsid w:val="12C05409"/>
    <w:rsid w:val="12FA7C9A"/>
    <w:rsid w:val="12FE3E89"/>
    <w:rsid w:val="1311524A"/>
    <w:rsid w:val="13230953"/>
    <w:rsid w:val="13471CAD"/>
    <w:rsid w:val="136B24B6"/>
    <w:rsid w:val="13A1683F"/>
    <w:rsid w:val="13A40BF7"/>
    <w:rsid w:val="143F6ED6"/>
    <w:rsid w:val="14605037"/>
    <w:rsid w:val="1460716A"/>
    <w:rsid w:val="146A7204"/>
    <w:rsid w:val="147133FF"/>
    <w:rsid w:val="14763CB9"/>
    <w:rsid w:val="14AA4309"/>
    <w:rsid w:val="14DA3DA1"/>
    <w:rsid w:val="15052CF1"/>
    <w:rsid w:val="157272F1"/>
    <w:rsid w:val="158B799D"/>
    <w:rsid w:val="159E61DE"/>
    <w:rsid w:val="15A0296E"/>
    <w:rsid w:val="15C4240D"/>
    <w:rsid w:val="15E25493"/>
    <w:rsid w:val="15EE66CD"/>
    <w:rsid w:val="1636245A"/>
    <w:rsid w:val="164B3F2E"/>
    <w:rsid w:val="167F0BD3"/>
    <w:rsid w:val="169D643D"/>
    <w:rsid w:val="16B5117F"/>
    <w:rsid w:val="16C417D5"/>
    <w:rsid w:val="16E824A8"/>
    <w:rsid w:val="17155857"/>
    <w:rsid w:val="17190DE8"/>
    <w:rsid w:val="171B7471"/>
    <w:rsid w:val="17484E85"/>
    <w:rsid w:val="174D1071"/>
    <w:rsid w:val="17603A01"/>
    <w:rsid w:val="1768417F"/>
    <w:rsid w:val="17950508"/>
    <w:rsid w:val="17A2352F"/>
    <w:rsid w:val="17CD30C3"/>
    <w:rsid w:val="182A416B"/>
    <w:rsid w:val="188F4114"/>
    <w:rsid w:val="18A02C99"/>
    <w:rsid w:val="18E528E8"/>
    <w:rsid w:val="18EB7063"/>
    <w:rsid w:val="19010C43"/>
    <w:rsid w:val="19084C73"/>
    <w:rsid w:val="19117A25"/>
    <w:rsid w:val="192665B8"/>
    <w:rsid w:val="194755B1"/>
    <w:rsid w:val="1997688B"/>
    <w:rsid w:val="19C93110"/>
    <w:rsid w:val="19EA1C79"/>
    <w:rsid w:val="1A054259"/>
    <w:rsid w:val="1A0B1ECE"/>
    <w:rsid w:val="1A3E3FD2"/>
    <w:rsid w:val="1A463AAE"/>
    <w:rsid w:val="1A900408"/>
    <w:rsid w:val="1A92267D"/>
    <w:rsid w:val="1B001645"/>
    <w:rsid w:val="1B2B0BBF"/>
    <w:rsid w:val="1B3A60CA"/>
    <w:rsid w:val="1B3F00A2"/>
    <w:rsid w:val="1B7F6005"/>
    <w:rsid w:val="1C132CB9"/>
    <w:rsid w:val="1C4C6431"/>
    <w:rsid w:val="1CA81298"/>
    <w:rsid w:val="1CA953F1"/>
    <w:rsid w:val="1CAF30F6"/>
    <w:rsid w:val="1CC35819"/>
    <w:rsid w:val="1CCC26CA"/>
    <w:rsid w:val="1D1A225E"/>
    <w:rsid w:val="1D487BE5"/>
    <w:rsid w:val="1D5433E7"/>
    <w:rsid w:val="1DA43059"/>
    <w:rsid w:val="1DBA1B7C"/>
    <w:rsid w:val="1DD872DE"/>
    <w:rsid w:val="1E016C3A"/>
    <w:rsid w:val="1E5B310E"/>
    <w:rsid w:val="1E5C71EF"/>
    <w:rsid w:val="1E867134"/>
    <w:rsid w:val="1E945211"/>
    <w:rsid w:val="1E9D6342"/>
    <w:rsid w:val="1EA16D63"/>
    <w:rsid w:val="1F474538"/>
    <w:rsid w:val="1F557221"/>
    <w:rsid w:val="1F605CBA"/>
    <w:rsid w:val="1FA8565C"/>
    <w:rsid w:val="1FBD574A"/>
    <w:rsid w:val="1FC90D7B"/>
    <w:rsid w:val="1FD13AB4"/>
    <w:rsid w:val="201D58DF"/>
    <w:rsid w:val="204E6676"/>
    <w:rsid w:val="20583F06"/>
    <w:rsid w:val="20642183"/>
    <w:rsid w:val="20687056"/>
    <w:rsid w:val="20973200"/>
    <w:rsid w:val="20B721C4"/>
    <w:rsid w:val="20C0060C"/>
    <w:rsid w:val="20E736E7"/>
    <w:rsid w:val="20E8749C"/>
    <w:rsid w:val="21092478"/>
    <w:rsid w:val="212042BB"/>
    <w:rsid w:val="2123024A"/>
    <w:rsid w:val="216531A6"/>
    <w:rsid w:val="218D690B"/>
    <w:rsid w:val="2195668B"/>
    <w:rsid w:val="21B75A2D"/>
    <w:rsid w:val="21BE5AD4"/>
    <w:rsid w:val="21F75F55"/>
    <w:rsid w:val="221241FE"/>
    <w:rsid w:val="22186699"/>
    <w:rsid w:val="22404957"/>
    <w:rsid w:val="225C4EBE"/>
    <w:rsid w:val="2265730A"/>
    <w:rsid w:val="22717051"/>
    <w:rsid w:val="229051C4"/>
    <w:rsid w:val="22CF3E6E"/>
    <w:rsid w:val="22EC5A20"/>
    <w:rsid w:val="23081A49"/>
    <w:rsid w:val="234C3925"/>
    <w:rsid w:val="2363596B"/>
    <w:rsid w:val="238B4B3D"/>
    <w:rsid w:val="238F6B97"/>
    <w:rsid w:val="23BD76DD"/>
    <w:rsid w:val="23F864A4"/>
    <w:rsid w:val="24532184"/>
    <w:rsid w:val="245C52F8"/>
    <w:rsid w:val="2463385E"/>
    <w:rsid w:val="24785134"/>
    <w:rsid w:val="249D68EB"/>
    <w:rsid w:val="249E52DD"/>
    <w:rsid w:val="24A33BCA"/>
    <w:rsid w:val="24CC3D54"/>
    <w:rsid w:val="24D1153E"/>
    <w:rsid w:val="24D364D0"/>
    <w:rsid w:val="24E450D2"/>
    <w:rsid w:val="250D568B"/>
    <w:rsid w:val="25123669"/>
    <w:rsid w:val="25134332"/>
    <w:rsid w:val="25523E31"/>
    <w:rsid w:val="257E508F"/>
    <w:rsid w:val="260964FD"/>
    <w:rsid w:val="263F44B2"/>
    <w:rsid w:val="26432F2D"/>
    <w:rsid w:val="26524772"/>
    <w:rsid w:val="268763EA"/>
    <w:rsid w:val="26940F76"/>
    <w:rsid w:val="26BF5712"/>
    <w:rsid w:val="26C518A3"/>
    <w:rsid w:val="270843CB"/>
    <w:rsid w:val="275A7D71"/>
    <w:rsid w:val="27646849"/>
    <w:rsid w:val="27687814"/>
    <w:rsid w:val="278437C8"/>
    <w:rsid w:val="27876A02"/>
    <w:rsid w:val="27AB7429"/>
    <w:rsid w:val="27AF16DA"/>
    <w:rsid w:val="27BD6F85"/>
    <w:rsid w:val="27EB032C"/>
    <w:rsid w:val="27F072B0"/>
    <w:rsid w:val="280704EC"/>
    <w:rsid w:val="285C053E"/>
    <w:rsid w:val="28A33239"/>
    <w:rsid w:val="28D032B1"/>
    <w:rsid w:val="29BA23FE"/>
    <w:rsid w:val="29CA425D"/>
    <w:rsid w:val="29D75229"/>
    <w:rsid w:val="29FA7F26"/>
    <w:rsid w:val="2A063193"/>
    <w:rsid w:val="2A9E04FD"/>
    <w:rsid w:val="2A9F05E2"/>
    <w:rsid w:val="2AAD2833"/>
    <w:rsid w:val="2AD67ED7"/>
    <w:rsid w:val="2AE32A79"/>
    <w:rsid w:val="2B0F6EBD"/>
    <w:rsid w:val="2B492BDE"/>
    <w:rsid w:val="2B774832"/>
    <w:rsid w:val="2B79224A"/>
    <w:rsid w:val="2B993AB9"/>
    <w:rsid w:val="2BFC7923"/>
    <w:rsid w:val="2C095925"/>
    <w:rsid w:val="2C284025"/>
    <w:rsid w:val="2C58138B"/>
    <w:rsid w:val="2C5B2EC9"/>
    <w:rsid w:val="2CC95FCA"/>
    <w:rsid w:val="2CDF4EA7"/>
    <w:rsid w:val="2D6343AB"/>
    <w:rsid w:val="2D737381"/>
    <w:rsid w:val="2D9E7F15"/>
    <w:rsid w:val="2DB34D95"/>
    <w:rsid w:val="2DDB7390"/>
    <w:rsid w:val="2E0B71A3"/>
    <w:rsid w:val="2E43495E"/>
    <w:rsid w:val="2E565144"/>
    <w:rsid w:val="2E5D1918"/>
    <w:rsid w:val="2E682BDC"/>
    <w:rsid w:val="2EB14206"/>
    <w:rsid w:val="2EF30977"/>
    <w:rsid w:val="2EF95F20"/>
    <w:rsid w:val="2F1251F2"/>
    <w:rsid w:val="2F8116F2"/>
    <w:rsid w:val="2F8D1148"/>
    <w:rsid w:val="2FCB5ADE"/>
    <w:rsid w:val="300566B8"/>
    <w:rsid w:val="302D7908"/>
    <w:rsid w:val="309416D4"/>
    <w:rsid w:val="30962F3E"/>
    <w:rsid w:val="30BB37E0"/>
    <w:rsid w:val="30D17E68"/>
    <w:rsid w:val="30FE3A51"/>
    <w:rsid w:val="30FF2795"/>
    <w:rsid w:val="310817B5"/>
    <w:rsid w:val="31107606"/>
    <w:rsid w:val="312D28B6"/>
    <w:rsid w:val="3152339D"/>
    <w:rsid w:val="318F7EFC"/>
    <w:rsid w:val="31D4027E"/>
    <w:rsid w:val="31F036E6"/>
    <w:rsid w:val="323803A0"/>
    <w:rsid w:val="329A6ACE"/>
    <w:rsid w:val="32C91568"/>
    <w:rsid w:val="32DB4306"/>
    <w:rsid w:val="32FF6B7F"/>
    <w:rsid w:val="3301415B"/>
    <w:rsid w:val="333F0D74"/>
    <w:rsid w:val="334C1A6F"/>
    <w:rsid w:val="33872D84"/>
    <w:rsid w:val="3394726C"/>
    <w:rsid w:val="33F20E3B"/>
    <w:rsid w:val="33F251AE"/>
    <w:rsid w:val="33F431B2"/>
    <w:rsid w:val="3417519C"/>
    <w:rsid w:val="34433C6F"/>
    <w:rsid w:val="345D6540"/>
    <w:rsid w:val="3471669F"/>
    <w:rsid w:val="34D63724"/>
    <w:rsid w:val="34DE539B"/>
    <w:rsid w:val="34F4460A"/>
    <w:rsid w:val="359267D1"/>
    <w:rsid w:val="35BD0748"/>
    <w:rsid w:val="35C83B50"/>
    <w:rsid w:val="35FB6B76"/>
    <w:rsid w:val="360B1D73"/>
    <w:rsid w:val="3619296A"/>
    <w:rsid w:val="361F3323"/>
    <w:rsid w:val="362D7D64"/>
    <w:rsid w:val="365353DA"/>
    <w:rsid w:val="36BF4A21"/>
    <w:rsid w:val="36D262F5"/>
    <w:rsid w:val="36E67011"/>
    <w:rsid w:val="36E93760"/>
    <w:rsid w:val="37187BEB"/>
    <w:rsid w:val="37222E3D"/>
    <w:rsid w:val="373634F9"/>
    <w:rsid w:val="37652A07"/>
    <w:rsid w:val="376951C2"/>
    <w:rsid w:val="37716352"/>
    <w:rsid w:val="3784394E"/>
    <w:rsid w:val="38306900"/>
    <w:rsid w:val="383B1564"/>
    <w:rsid w:val="38542505"/>
    <w:rsid w:val="388A2DE1"/>
    <w:rsid w:val="38AE3BB0"/>
    <w:rsid w:val="38CB7858"/>
    <w:rsid w:val="38D76C3A"/>
    <w:rsid w:val="38EA38A8"/>
    <w:rsid w:val="38EE5F1F"/>
    <w:rsid w:val="39047288"/>
    <w:rsid w:val="39306F40"/>
    <w:rsid w:val="395C7DC0"/>
    <w:rsid w:val="39BB0C81"/>
    <w:rsid w:val="39C82AE2"/>
    <w:rsid w:val="39CF1F7D"/>
    <w:rsid w:val="39D67290"/>
    <w:rsid w:val="3A026BF2"/>
    <w:rsid w:val="3A1131D2"/>
    <w:rsid w:val="3A505E74"/>
    <w:rsid w:val="3A8D1659"/>
    <w:rsid w:val="3A96251C"/>
    <w:rsid w:val="3AA4620D"/>
    <w:rsid w:val="3ACB5746"/>
    <w:rsid w:val="3AEC16D9"/>
    <w:rsid w:val="3B0F0CED"/>
    <w:rsid w:val="3B1376BF"/>
    <w:rsid w:val="3B3B10D9"/>
    <w:rsid w:val="3B3C14D8"/>
    <w:rsid w:val="3BB20883"/>
    <w:rsid w:val="3BBB4FAA"/>
    <w:rsid w:val="3BBD2D5F"/>
    <w:rsid w:val="3BBF6D31"/>
    <w:rsid w:val="3BDD3DF6"/>
    <w:rsid w:val="3BF4670E"/>
    <w:rsid w:val="3C47033F"/>
    <w:rsid w:val="3C751B18"/>
    <w:rsid w:val="3D1D669C"/>
    <w:rsid w:val="3D3C0F91"/>
    <w:rsid w:val="3D3E003B"/>
    <w:rsid w:val="3D53448E"/>
    <w:rsid w:val="3D566E05"/>
    <w:rsid w:val="3D572567"/>
    <w:rsid w:val="3D696F2C"/>
    <w:rsid w:val="3DA8275C"/>
    <w:rsid w:val="3DC27F2C"/>
    <w:rsid w:val="3DE3424D"/>
    <w:rsid w:val="3DF0568B"/>
    <w:rsid w:val="3E11467C"/>
    <w:rsid w:val="3E123AC8"/>
    <w:rsid w:val="3E2D0D5E"/>
    <w:rsid w:val="3E420401"/>
    <w:rsid w:val="3E441C7D"/>
    <w:rsid w:val="3E667511"/>
    <w:rsid w:val="3ED25246"/>
    <w:rsid w:val="3EFE7717"/>
    <w:rsid w:val="3F2B53F6"/>
    <w:rsid w:val="3F3D0D92"/>
    <w:rsid w:val="3F497473"/>
    <w:rsid w:val="3F5E004C"/>
    <w:rsid w:val="3FA661A3"/>
    <w:rsid w:val="3FA70F37"/>
    <w:rsid w:val="3FC04CC5"/>
    <w:rsid w:val="3FC37158"/>
    <w:rsid w:val="3FC956FF"/>
    <w:rsid w:val="3FD07AC1"/>
    <w:rsid w:val="3FD94F77"/>
    <w:rsid w:val="3FDD4694"/>
    <w:rsid w:val="3FEA0478"/>
    <w:rsid w:val="3FEB59DE"/>
    <w:rsid w:val="3FEF0C27"/>
    <w:rsid w:val="401E7A7A"/>
    <w:rsid w:val="402220F3"/>
    <w:rsid w:val="40573579"/>
    <w:rsid w:val="40A36A71"/>
    <w:rsid w:val="40E13F25"/>
    <w:rsid w:val="410E4736"/>
    <w:rsid w:val="41235C5C"/>
    <w:rsid w:val="4125142C"/>
    <w:rsid w:val="414C6DC9"/>
    <w:rsid w:val="4167334E"/>
    <w:rsid w:val="41A06235"/>
    <w:rsid w:val="41AE0DA7"/>
    <w:rsid w:val="41D3631F"/>
    <w:rsid w:val="41D56BBE"/>
    <w:rsid w:val="41E357B9"/>
    <w:rsid w:val="41F466FD"/>
    <w:rsid w:val="420C3131"/>
    <w:rsid w:val="42391C72"/>
    <w:rsid w:val="423D5B37"/>
    <w:rsid w:val="425554D7"/>
    <w:rsid w:val="4274077B"/>
    <w:rsid w:val="428B32C7"/>
    <w:rsid w:val="429E7CA8"/>
    <w:rsid w:val="42A67A24"/>
    <w:rsid w:val="42D846B9"/>
    <w:rsid w:val="42F94D73"/>
    <w:rsid w:val="435756B9"/>
    <w:rsid w:val="436605D4"/>
    <w:rsid w:val="437B0C4E"/>
    <w:rsid w:val="43AF1FBF"/>
    <w:rsid w:val="43BD04CB"/>
    <w:rsid w:val="43C560F4"/>
    <w:rsid w:val="43E1138F"/>
    <w:rsid w:val="440D25AB"/>
    <w:rsid w:val="440D5045"/>
    <w:rsid w:val="44911D0E"/>
    <w:rsid w:val="44A07D89"/>
    <w:rsid w:val="44AA2537"/>
    <w:rsid w:val="44C659AB"/>
    <w:rsid w:val="44F662CA"/>
    <w:rsid w:val="45242C1D"/>
    <w:rsid w:val="452938B5"/>
    <w:rsid w:val="45385570"/>
    <w:rsid w:val="453F49D7"/>
    <w:rsid w:val="4550163C"/>
    <w:rsid w:val="45915C76"/>
    <w:rsid w:val="45A03958"/>
    <w:rsid w:val="45AC5FA5"/>
    <w:rsid w:val="45B80DC7"/>
    <w:rsid w:val="45BE6191"/>
    <w:rsid w:val="45E45EFA"/>
    <w:rsid w:val="46010CB2"/>
    <w:rsid w:val="460C5979"/>
    <w:rsid w:val="462F6229"/>
    <w:rsid w:val="463522AA"/>
    <w:rsid w:val="46A44486"/>
    <w:rsid w:val="46D33878"/>
    <w:rsid w:val="46ED2A7E"/>
    <w:rsid w:val="47243903"/>
    <w:rsid w:val="47384688"/>
    <w:rsid w:val="47C01792"/>
    <w:rsid w:val="47C40ECF"/>
    <w:rsid w:val="47C76BA7"/>
    <w:rsid w:val="47CF5519"/>
    <w:rsid w:val="47DE4A4B"/>
    <w:rsid w:val="47E240A3"/>
    <w:rsid w:val="4808150F"/>
    <w:rsid w:val="480F5DBF"/>
    <w:rsid w:val="482A533A"/>
    <w:rsid w:val="483213E3"/>
    <w:rsid w:val="48962726"/>
    <w:rsid w:val="494F75D4"/>
    <w:rsid w:val="495274AB"/>
    <w:rsid w:val="499943C1"/>
    <w:rsid w:val="49D0193A"/>
    <w:rsid w:val="49E9233D"/>
    <w:rsid w:val="49EA336A"/>
    <w:rsid w:val="4A011123"/>
    <w:rsid w:val="4A1D2508"/>
    <w:rsid w:val="4AAD1944"/>
    <w:rsid w:val="4AC31003"/>
    <w:rsid w:val="4ADC4DC7"/>
    <w:rsid w:val="4AE93159"/>
    <w:rsid w:val="4B155921"/>
    <w:rsid w:val="4B2D01D6"/>
    <w:rsid w:val="4BA65A9E"/>
    <w:rsid w:val="4BB64519"/>
    <w:rsid w:val="4BD0339A"/>
    <w:rsid w:val="4BD45173"/>
    <w:rsid w:val="4BDE7077"/>
    <w:rsid w:val="4BEA46D3"/>
    <w:rsid w:val="4C233E56"/>
    <w:rsid w:val="4C505F58"/>
    <w:rsid w:val="4CB30E8A"/>
    <w:rsid w:val="4CDE0BF1"/>
    <w:rsid w:val="4CEE2FE8"/>
    <w:rsid w:val="4CFA3574"/>
    <w:rsid w:val="4D0D5330"/>
    <w:rsid w:val="4D165B45"/>
    <w:rsid w:val="4D462159"/>
    <w:rsid w:val="4D494984"/>
    <w:rsid w:val="4D5C5FAC"/>
    <w:rsid w:val="4D796563"/>
    <w:rsid w:val="4DA471FA"/>
    <w:rsid w:val="4DC605B6"/>
    <w:rsid w:val="4DEC0985"/>
    <w:rsid w:val="4DFB299D"/>
    <w:rsid w:val="4E06555F"/>
    <w:rsid w:val="4E0B23DC"/>
    <w:rsid w:val="4E27683A"/>
    <w:rsid w:val="4E60747F"/>
    <w:rsid w:val="4E670969"/>
    <w:rsid w:val="4E815066"/>
    <w:rsid w:val="4EB263A5"/>
    <w:rsid w:val="4EB80640"/>
    <w:rsid w:val="4EBD7739"/>
    <w:rsid w:val="4F062385"/>
    <w:rsid w:val="4F1D1740"/>
    <w:rsid w:val="4F2765B1"/>
    <w:rsid w:val="4F285975"/>
    <w:rsid w:val="4F503F63"/>
    <w:rsid w:val="4FA75F34"/>
    <w:rsid w:val="4FBC4859"/>
    <w:rsid w:val="50292DAE"/>
    <w:rsid w:val="504745F9"/>
    <w:rsid w:val="50841662"/>
    <w:rsid w:val="50CC13AC"/>
    <w:rsid w:val="5100265D"/>
    <w:rsid w:val="51383C97"/>
    <w:rsid w:val="51634B98"/>
    <w:rsid w:val="516C2222"/>
    <w:rsid w:val="5175128E"/>
    <w:rsid w:val="51796EDE"/>
    <w:rsid w:val="51867298"/>
    <w:rsid w:val="51BA1BD7"/>
    <w:rsid w:val="51C64AA7"/>
    <w:rsid w:val="51CE69CD"/>
    <w:rsid w:val="52152F69"/>
    <w:rsid w:val="52195EDF"/>
    <w:rsid w:val="52313387"/>
    <w:rsid w:val="5234294D"/>
    <w:rsid w:val="52B70CE8"/>
    <w:rsid w:val="52C15317"/>
    <w:rsid w:val="52E04D27"/>
    <w:rsid w:val="52FE706D"/>
    <w:rsid w:val="530E3985"/>
    <w:rsid w:val="53133D7F"/>
    <w:rsid w:val="532049AA"/>
    <w:rsid w:val="534750B2"/>
    <w:rsid w:val="53561C56"/>
    <w:rsid w:val="535A4F60"/>
    <w:rsid w:val="537C393E"/>
    <w:rsid w:val="539A390F"/>
    <w:rsid w:val="53CA1266"/>
    <w:rsid w:val="53DB3477"/>
    <w:rsid w:val="547471FE"/>
    <w:rsid w:val="547E6147"/>
    <w:rsid w:val="549048B8"/>
    <w:rsid w:val="549710CF"/>
    <w:rsid w:val="54AF6B42"/>
    <w:rsid w:val="54E85C46"/>
    <w:rsid w:val="552C6CE5"/>
    <w:rsid w:val="553C373A"/>
    <w:rsid w:val="5543733F"/>
    <w:rsid w:val="55612587"/>
    <w:rsid w:val="55DD6F2A"/>
    <w:rsid w:val="55EA6FB7"/>
    <w:rsid w:val="563B6259"/>
    <w:rsid w:val="56486A48"/>
    <w:rsid w:val="564F1961"/>
    <w:rsid w:val="56654271"/>
    <w:rsid w:val="566F49CD"/>
    <w:rsid w:val="56BA1F35"/>
    <w:rsid w:val="56BB1404"/>
    <w:rsid w:val="56E23970"/>
    <w:rsid w:val="571238D5"/>
    <w:rsid w:val="574F0776"/>
    <w:rsid w:val="575E1504"/>
    <w:rsid w:val="576066CB"/>
    <w:rsid w:val="577A3C7D"/>
    <w:rsid w:val="578F220A"/>
    <w:rsid w:val="57D5313D"/>
    <w:rsid w:val="57FC07D9"/>
    <w:rsid w:val="581A6D0E"/>
    <w:rsid w:val="58500F22"/>
    <w:rsid w:val="58552662"/>
    <w:rsid w:val="58750BBA"/>
    <w:rsid w:val="588B6ED5"/>
    <w:rsid w:val="58D74CE8"/>
    <w:rsid w:val="591C0009"/>
    <w:rsid w:val="59535E11"/>
    <w:rsid w:val="596F537C"/>
    <w:rsid w:val="597467AF"/>
    <w:rsid w:val="597B53CB"/>
    <w:rsid w:val="59D13F28"/>
    <w:rsid w:val="5A195D50"/>
    <w:rsid w:val="5A6859E9"/>
    <w:rsid w:val="5A8772BF"/>
    <w:rsid w:val="5A97012B"/>
    <w:rsid w:val="5ACF0F3A"/>
    <w:rsid w:val="5B0E6543"/>
    <w:rsid w:val="5B544E3B"/>
    <w:rsid w:val="5B6F6842"/>
    <w:rsid w:val="5B967B3B"/>
    <w:rsid w:val="5B9A3CB5"/>
    <w:rsid w:val="5BCC25C3"/>
    <w:rsid w:val="5BD956F6"/>
    <w:rsid w:val="5C4C7245"/>
    <w:rsid w:val="5C6B1600"/>
    <w:rsid w:val="5C921AD0"/>
    <w:rsid w:val="5CBC5C00"/>
    <w:rsid w:val="5CCE33B6"/>
    <w:rsid w:val="5CCF59D5"/>
    <w:rsid w:val="5D134559"/>
    <w:rsid w:val="5D285D09"/>
    <w:rsid w:val="5D5107F3"/>
    <w:rsid w:val="5DF07A97"/>
    <w:rsid w:val="5DF560E0"/>
    <w:rsid w:val="5DF73B4F"/>
    <w:rsid w:val="5DFD51DB"/>
    <w:rsid w:val="5E0D36E5"/>
    <w:rsid w:val="5E0E3CD2"/>
    <w:rsid w:val="5EC93EB0"/>
    <w:rsid w:val="5ED907FA"/>
    <w:rsid w:val="5EDC2CC4"/>
    <w:rsid w:val="5F530978"/>
    <w:rsid w:val="5F9C1FB9"/>
    <w:rsid w:val="5FC930FE"/>
    <w:rsid w:val="5FFB63BC"/>
    <w:rsid w:val="60046FC0"/>
    <w:rsid w:val="600C28B1"/>
    <w:rsid w:val="60210F40"/>
    <w:rsid w:val="60290171"/>
    <w:rsid w:val="604743EF"/>
    <w:rsid w:val="605B76AF"/>
    <w:rsid w:val="607C3753"/>
    <w:rsid w:val="609524A2"/>
    <w:rsid w:val="60AB572C"/>
    <w:rsid w:val="60C30855"/>
    <w:rsid w:val="60DC11BD"/>
    <w:rsid w:val="60FD6A8A"/>
    <w:rsid w:val="610A746C"/>
    <w:rsid w:val="611E7A14"/>
    <w:rsid w:val="611F0AEA"/>
    <w:rsid w:val="61421EFD"/>
    <w:rsid w:val="615C5041"/>
    <w:rsid w:val="61701990"/>
    <w:rsid w:val="61774E66"/>
    <w:rsid w:val="61775C7A"/>
    <w:rsid w:val="617A7B9B"/>
    <w:rsid w:val="61A114F4"/>
    <w:rsid w:val="621606EA"/>
    <w:rsid w:val="62D95643"/>
    <w:rsid w:val="631E4ADB"/>
    <w:rsid w:val="634C2128"/>
    <w:rsid w:val="637B4FAA"/>
    <w:rsid w:val="63CD5B32"/>
    <w:rsid w:val="644F1BEF"/>
    <w:rsid w:val="64857194"/>
    <w:rsid w:val="648E6735"/>
    <w:rsid w:val="64F90E10"/>
    <w:rsid w:val="652A51C3"/>
    <w:rsid w:val="65602229"/>
    <w:rsid w:val="656D2999"/>
    <w:rsid w:val="65935921"/>
    <w:rsid w:val="66210E38"/>
    <w:rsid w:val="664805B8"/>
    <w:rsid w:val="66722FDA"/>
    <w:rsid w:val="669C7ACE"/>
    <w:rsid w:val="66B17833"/>
    <w:rsid w:val="66C52CA9"/>
    <w:rsid w:val="66DE161A"/>
    <w:rsid w:val="671D1C28"/>
    <w:rsid w:val="67861B83"/>
    <w:rsid w:val="67CE7B2D"/>
    <w:rsid w:val="67DA7BAF"/>
    <w:rsid w:val="681B060F"/>
    <w:rsid w:val="68CD2E64"/>
    <w:rsid w:val="68DE1611"/>
    <w:rsid w:val="690F418B"/>
    <w:rsid w:val="694B6536"/>
    <w:rsid w:val="696D2FD1"/>
    <w:rsid w:val="6A2068B5"/>
    <w:rsid w:val="6A2451CA"/>
    <w:rsid w:val="6A2558BD"/>
    <w:rsid w:val="6A430ACC"/>
    <w:rsid w:val="6A460340"/>
    <w:rsid w:val="6A565B23"/>
    <w:rsid w:val="6A7A2736"/>
    <w:rsid w:val="6A7B4B9C"/>
    <w:rsid w:val="6A865A9C"/>
    <w:rsid w:val="6AB75DB6"/>
    <w:rsid w:val="6ABD3008"/>
    <w:rsid w:val="6AC21F74"/>
    <w:rsid w:val="6AE043A0"/>
    <w:rsid w:val="6AE24669"/>
    <w:rsid w:val="6B222A71"/>
    <w:rsid w:val="6B90417B"/>
    <w:rsid w:val="6BB575E0"/>
    <w:rsid w:val="6BC07BDD"/>
    <w:rsid w:val="6C2C6374"/>
    <w:rsid w:val="6C6B2E5D"/>
    <w:rsid w:val="6C706368"/>
    <w:rsid w:val="6C89456C"/>
    <w:rsid w:val="6CC9334F"/>
    <w:rsid w:val="6CD93433"/>
    <w:rsid w:val="6D43317B"/>
    <w:rsid w:val="6D4E221F"/>
    <w:rsid w:val="6D526AEA"/>
    <w:rsid w:val="6D612F85"/>
    <w:rsid w:val="6D6353D3"/>
    <w:rsid w:val="6D763AB7"/>
    <w:rsid w:val="6D83784F"/>
    <w:rsid w:val="6DA9560D"/>
    <w:rsid w:val="6DDB16D3"/>
    <w:rsid w:val="6DE00F35"/>
    <w:rsid w:val="6E0C5549"/>
    <w:rsid w:val="6E351FF2"/>
    <w:rsid w:val="6E910E63"/>
    <w:rsid w:val="6EC915AC"/>
    <w:rsid w:val="6F022B15"/>
    <w:rsid w:val="6F1A2493"/>
    <w:rsid w:val="6F2150D5"/>
    <w:rsid w:val="6F467914"/>
    <w:rsid w:val="6F592CB0"/>
    <w:rsid w:val="6F5C4459"/>
    <w:rsid w:val="6F8C0982"/>
    <w:rsid w:val="6F901B66"/>
    <w:rsid w:val="6F957829"/>
    <w:rsid w:val="6F971CA9"/>
    <w:rsid w:val="6FA629D4"/>
    <w:rsid w:val="6FD10552"/>
    <w:rsid w:val="704522F9"/>
    <w:rsid w:val="70607A2E"/>
    <w:rsid w:val="706A0FBA"/>
    <w:rsid w:val="70B90E60"/>
    <w:rsid w:val="70BB2EF0"/>
    <w:rsid w:val="70BE5D64"/>
    <w:rsid w:val="70DE4403"/>
    <w:rsid w:val="711C79FD"/>
    <w:rsid w:val="714F2B10"/>
    <w:rsid w:val="718B305D"/>
    <w:rsid w:val="7241154A"/>
    <w:rsid w:val="724C20E1"/>
    <w:rsid w:val="72520A5C"/>
    <w:rsid w:val="727964FE"/>
    <w:rsid w:val="72A90FF4"/>
    <w:rsid w:val="72B847CD"/>
    <w:rsid w:val="72C1546B"/>
    <w:rsid w:val="72EB7520"/>
    <w:rsid w:val="72FA46A1"/>
    <w:rsid w:val="730418F3"/>
    <w:rsid w:val="73455C21"/>
    <w:rsid w:val="73817121"/>
    <w:rsid w:val="73A44FF0"/>
    <w:rsid w:val="73D425F7"/>
    <w:rsid w:val="741D7214"/>
    <w:rsid w:val="74235503"/>
    <w:rsid w:val="7444697F"/>
    <w:rsid w:val="74777AD6"/>
    <w:rsid w:val="74B10A6C"/>
    <w:rsid w:val="74EB1461"/>
    <w:rsid w:val="750A2023"/>
    <w:rsid w:val="75672AFC"/>
    <w:rsid w:val="75C57CED"/>
    <w:rsid w:val="76356303"/>
    <w:rsid w:val="763753C5"/>
    <w:rsid w:val="763E108B"/>
    <w:rsid w:val="76515E10"/>
    <w:rsid w:val="766679F1"/>
    <w:rsid w:val="7676736A"/>
    <w:rsid w:val="767B0A8B"/>
    <w:rsid w:val="767F7268"/>
    <w:rsid w:val="76933951"/>
    <w:rsid w:val="76B0156B"/>
    <w:rsid w:val="76D22801"/>
    <w:rsid w:val="77026720"/>
    <w:rsid w:val="771D661B"/>
    <w:rsid w:val="771F7714"/>
    <w:rsid w:val="778A0884"/>
    <w:rsid w:val="77C77827"/>
    <w:rsid w:val="77F270AE"/>
    <w:rsid w:val="78323B18"/>
    <w:rsid w:val="786019DE"/>
    <w:rsid w:val="786D5A24"/>
    <w:rsid w:val="7878243B"/>
    <w:rsid w:val="78782A0D"/>
    <w:rsid w:val="7883389A"/>
    <w:rsid w:val="7884239C"/>
    <w:rsid w:val="78D319C1"/>
    <w:rsid w:val="78D90469"/>
    <w:rsid w:val="78F92D89"/>
    <w:rsid w:val="790E76FB"/>
    <w:rsid w:val="793156E6"/>
    <w:rsid w:val="79632130"/>
    <w:rsid w:val="79746717"/>
    <w:rsid w:val="79A2171F"/>
    <w:rsid w:val="79A252FF"/>
    <w:rsid w:val="79B87B65"/>
    <w:rsid w:val="79CE59E0"/>
    <w:rsid w:val="79CE6488"/>
    <w:rsid w:val="79D33056"/>
    <w:rsid w:val="79F11422"/>
    <w:rsid w:val="7A3E0D3F"/>
    <w:rsid w:val="7A8154E9"/>
    <w:rsid w:val="7A906CCD"/>
    <w:rsid w:val="7AAE0141"/>
    <w:rsid w:val="7AE206DA"/>
    <w:rsid w:val="7AE82AF6"/>
    <w:rsid w:val="7B226C12"/>
    <w:rsid w:val="7B420027"/>
    <w:rsid w:val="7B84199A"/>
    <w:rsid w:val="7BDD743A"/>
    <w:rsid w:val="7C26369C"/>
    <w:rsid w:val="7C396F20"/>
    <w:rsid w:val="7C805BA4"/>
    <w:rsid w:val="7C940F43"/>
    <w:rsid w:val="7C9E5A24"/>
    <w:rsid w:val="7CAC00CB"/>
    <w:rsid w:val="7CC76BD4"/>
    <w:rsid w:val="7CCB1622"/>
    <w:rsid w:val="7CF03A72"/>
    <w:rsid w:val="7D022AC7"/>
    <w:rsid w:val="7D575412"/>
    <w:rsid w:val="7D591D74"/>
    <w:rsid w:val="7D62117D"/>
    <w:rsid w:val="7DB54254"/>
    <w:rsid w:val="7DB5752C"/>
    <w:rsid w:val="7DB6724D"/>
    <w:rsid w:val="7E03036B"/>
    <w:rsid w:val="7E053373"/>
    <w:rsid w:val="7E2042F7"/>
    <w:rsid w:val="7E3E1EF2"/>
    <w:rsid w:val="7E532923"/>
    <w:rsid w:val="7E951513"/>
    <w:rsid w:val="7EA11669"/>
    <w:rsid w:val="7EBC2810"/>
    <w:rsid w:val="7EF74FC9"/>
    <w:rsid w:val="7F1B649D"/>
    <w:rsid w:val="7F40442A"/>
    <w:rsid w:val="7F7339B4"/>
    <w:rsid w:val="7F98736F"/>
    <w:rsid w:val="7FBB2F58"/>
    <w:rsid w:val="7FD11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name="header"/>
    <w:lsdException w:qFormat="1" w:uiPriority="99"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unhideWhenUsed="0" w:uiPriority="99"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5">
    <w:name w:val="Document Map"/>
    <w:basedOn w:val="1"/>
    <w:link w:val="33"/>
    <w:semiHidden/>
    <w:unhideWhenUsed/>
    <w:qFormat/>
    <w:uiPriority w:val="99"/>
    <w:rPr>
      <w:rFonts w:ascii="宋体"/>
      <w:sz w:val="18"/>
      <w:szCs w:val="18"/>
    </w:rPr>
  </w:style>
  <w:style w:type="paragraph" w:styleId="6">
    <w:name w:val="annotation text"/>
    <w:basedOn w:val="1"/>
    <w:link w:val="35"/>
    <w:semiHidden/>
    <w:unhideWhenUsed/>
    <w:qFormat/>
    <w:uiPriority w:val="99"/>
    <w:pPr>
      <w:jc w:val="left"/>
    </w:pPr>
  </w:style>
  <w:style w:type="paragraph" w:styleId="7">
    <w:name w:val="Body Text"/>
    <w:basedOn w:val="1"/>
    <w:qFormat/>
    <w:uiPriority w:val="0"/>
    <w:pPr>
      <w:spacing w:after="120"/>
    </w:pPr>
  </w:style>
  <w:style w:type="paragraph" w:styleId="8">
    <w:name w:val="toc 3"/>
    <w:basedOn w:val="1"/>
    <w:next w:val="1"/>
    <w:unhideWhenUsed/>
    <w:qFormat/>
    <w:uiPriority w:val="99"/>
    <w:pPr>
      <w:adjustRightInd w:val="0"/>
      <w:ind w:left="1282" w:leftChars="400" w:hanging="442" w:hangingChars="200"/>
    </w:pPr>
    <w:rPr>
      <w:b/>
      <w:i/>
      <w:sz w:val="20"/>
    </w:rPr>
  </w:style>
  <w:style w:type="paragraph" w:styleId="9">
    <w:name w:val="Balloon Text"/>
    <w:basedOn w:val="1"/>
    <w:link w:val="34"/>
    <w:semiHidden/>
    <w:unhideWhenUsed/>
    <w:qFormat/>
    <w:uiPriority w:val="99"/>
    <w:rPr>
      <w:sz w:val="18"/>
      <w:szCs w:val="18"/>
    </w:rPr>
  </w:style>
  <w:style w:type="paragraph" w:styleId="10">
    <w:name w:val="footer"/>
    <w:basedOn w:val="1"/>
    <w:semiHidden/>
    <w:unhideWhenUsed/>
    <w:qFormat/>
    <w:uiPriority w:val="99"/>
    <w:pPr>
      <w:tabs>
        <w:tab w:val="center" w:pos="4153"/>
        <w:tab w:val="right" w:pos="8306"/>
      </w:tabs>
      <w:snapToGrid w:val="0"/>
      <w:jc w:val="left"/>
    </w:pPr>
    <w:rPr>
      <w:sz w:val="18"/>
      <w:szCs w:val="18"/>
    </w:rPr>
  </w:style>
  <w:style w:type="paragraph" w:styleId="11">
    <w:name w:val="header"/>
    <w:basedOn w:val="1"/>
    <w:semiHidden/>
    <w:qFormat/>
    <w:uiPriority w:val="0"/>
    <w:pPr>
      <w:tabs>
        <w:tab w:val="center" w:pos="4680"/>
        <w:tab w:val="right" w:pos="9360"/>
      </w:tabs>
    </w:pPr>
  </w:style>
  <w:style w:type="paragraph" w:styleId="12">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unhideWhenUsed/>
    <w:qFormat/>
    <w:uiPriority w:val="39"/>
    <w:pPr>
      <w:tabs>
        <w:tab w:val="right" w:pos="420"/>
      </w:tabs>
      <w:ind w:left="862" w:leftChars="200" w:hanging="442" w:hangingChars="200"/>
      <w:jc w:val="left"/>
    </w:pPr>
    <w:rPr>
      <w:b/>
      <w:i/>
      <w:sz w:val="20"/>
    </w:rPr>
  </w:style>
  <w:style w:type="paragraph" w:styleId="15">
    <w:name w:val="Normal (Web)"/>
    <w:basedOn w:val="1"/>
    <w:qFormat/>
    <w:uiPriority w:val="99"/>
    <w:pPr>
      <w:spacing w:before="100" w:beforeAutospacing="1" w:after="100" w:afterAutospacing="1"/>
    </w:pPr>
    <w:rPr>
      <w:rFonts w:ascii="Arial" w:hAnsi="Arial" w:cs="Arial"/>
      <w:color w:val="493118"/>
      <w:sz w:val="18"/>
      <w:szCs w:val="18"/>
    </w:rPr>
  </w:style>
  <w:style w:type="paragraph" w:styleId="16">
    <w:name w:val="annotation subject"/>
    <w:basedOn w:val="6"/>
    <w:next w:val="6"/>
    <w:link w:val="36"/>
    <w:semiHidden/>
    <w:unhideWhenUsed/>
    <w:qFormat/>
    <w:uiPriority w:val="99"/>
    <w:rPr>
      <w:b/>
      <w:bCs/>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styleId="22">
    <w:name w:val="annotation reference"/>
    <w:qFormat/>
    <w:uiPriority w:val="99"/>
    <w:rPr>
      <w:sz w:val="16"/>
    </w:rPr>
  </w:style>
  <w:style w:type="paragraph" w:customStyle="1" w:styleId="23">
    <w:name w:val="YJ-Observation"/>
    <w:basedOn w:val="24"/>
    <w:qFormat/>
    <w:uiPriority w:val="0"/>
    <w:pPr>
      <w:numPr>
        <w:ilvl w:val="0"/>
        <w:numId w:val="2"/>
      </w:numPr>
      <w:tabs>
        <w:tab w:val="left" w:pos="420"/>
      </w:tabs>
    </w:pPr>
  </w:style>
  <w:style w:type="paragraph" w:customStyle="1" w:styleId="24">
    <w:name w:val="YJ-Proposal"/>
    <w:basedOn w:val="1"/>
    <w:qFormat/>
    <w:uiPriority w:val="0"/>
    <w:pPr>
      <w:numPr>
        <w:ilvl w:val="0"/>
        <w:numId w:val="3"/>
      </w:numPr>
      <w:jc w:val="left"/>
    </w:pPr>
    <w:rPr>
      <w:rFonts w:eastAsiaTheme="minorEastAsia"/>
      <w:b/>
      <w:bCs/>
      <w:i/>
      <w:iCs/>
      <w:sz w:val="20"/>
      <w:lang w:val="en-GB" w:eastAsia="en-US"/>
    </w:rPr>
  </w:style>
  <w:style w:type="paragraph" w:customStyle="1" w:styleId="25">
    <w:name w:val="sub-proposal"/>
    <w:basedOn w:val="24"/>
    <w:next w:val="1"/>
    <w:qFormat/>
    <w:uiPriority w:val="0"/>
    <w:pPr>
      <w:numPr>
        <w:numId w:val="4"/>
      </w:numPr>
      <w:tabs>
        <w:tab w:val="left" w:pos="420"/>
        <w:tab w:val="left" w:pos="807"/>
      </w:tabs>
      <w:ind w:left="862" w:leftChars="200" w:hanging="442" w:hangingChars="200"/>
    </w:pPr>
  </w:style>
  <w:style w:type="paragraph" w:customStyle="1" w:styleId="26">
    <w:name w:val="sub-observation"/>
    <w:basedOn w:val="25"/>
    <w:next w:val="1"/>
    <w:qFormat/>
    <w:uiPriority w:val="0"/>
  </w:style>
  <w:style w:type="paragraph" w:customStyle="1" w:styleId="27">
    <w:name w:val="3rd level proposal"/>
    <w:basedOn w:val="25"/>
    <w:next w:val="1"/>
    <w:qFormat/>
    <w:uiPriority w:val="0"/>
    <w:pPr>
      <w:numPr>
        <w:ilvl w:val="0"/>
        <w:numId w:val="5"/>
      </w:numPr>
      <w:ind w:left="1282" w:leftChars="400" w:hanging="442"/>
    </w:pPr>
  </w:style>
  <w:style w:type="paragraph" w:customStyle="1" w:styleId="28">
    <w:name w:val="3rd level observation"/>
    <w:basedOn w:val="26"/>
    <w:qFormat/>
    <w:uiPriority w:val="0"/>
    <w:pPr>
      <w:numPr>
        <w:ilvl w:val="0"/>
        <w:numId w:val="6"/>
      </w:numPr>
      <w:ind w:left="1282" w:leftChars="400" w:hanging="442"/>
    </w:pPr>
  </w:style>
  <w:style w:type="paragraph" w:customStyle="1" w:styleId="29">
    <w:name w:val="References"/>
    <w:basedOn w:val="1"/>
    <w:qFormat/>
    <w:uiPriority w:val="0"/>
    <w:pPr>
      <w:numPr>
        <w:ilvl w:val="0"/>
        <w:numId w:val="7"/>
      </w:numPr>
      <w:spacing w:after="60"/>
    </w:pPr>
    <w:rPr>
      <w:szCs w:val="16"/>
    </w:rPr>
  </w:style>
  <w:style w:type="paragraph" w:styleId="30">
    <w:name w:val="List Paragraph"/>
    <w:basedOn w:val="1"/>
    <w:qFormat/>
    <w:uiPriority w:val="34"/>
    <w:pPr>
      <w:spacing w:beforeLines="0"/>
      <w:ind w:left="720"/>
      <w:contextualSpacing/>
    </w:pPr>
    <w:rPr>
      <w:rFonts w:eastAsia="Times New Roman"/>
      <w:sz w:val="24"/>
      <w:szCs w:val="24"/>
    </w:rPr>
  </w:style>
  <w:style w:type="paragraph" w:customStyle="1" w:styleId="31">
    <w:name w:val="样式1"/>
    <w:basedOn w:val="1"/>
    <w:qFormat/>
    <w:uiPriority w:val="0"/>
  </w:style>
  <w:style w:type="paragraph" w:customStyle="1" w:styleId="32">
    <w:name w:val="样式2"/>
    <w:basedOn w:val="1"/>
    <w:qFormat/>
    <w:uiPriority w:val="0"/>
  </w:style>
  <w:style w:type="character" w:customStyle="1" w:styleId="33">
    <w:name w:val="文档结构图 Char"/>
    <w:basedOn w:val="19"/>
    <w:link w:val="5"/>
    <w:semiHidden/>
    <w:qFormat/>
    <w:uiPriority w:val="99"/>
    <w:rPr>
      <w:rFonts w:ascii="宋体"/>
      <w:kern w:val="2"/>
      <w:sz w:val="18"/>
      <w:szCs w:val="18"/>
    </w:rPr>
  </w:style>
  <w:style w:type="character" w:customStyle="1" w:styleId="34">
    <w:name w:val="批注框文本 Char"/>
    <w:basedOn w:val="19"/>
    <w:link w:val="9"/>
    <w:semiHidden/>
    <w:qFormat/>
    <w:uiPriority w:val="99"/>
    <w:rPr>
      <w:kern w:val="2"/>
      <w:sz w:val="18"/>
      <w:szCs w:val="18"/>
    </w:rPr>
  </w:style>
  <w:style w:type="character" w:customStyle="1" w:styleId="35">
    <w:name w:val="批注文字 Char"/>
    <w:basedOn w:val="19"/>
    <w:link w:val="6"/>
    <w:semiHidden/>
    <w:qFormat/>
    <w:uiPriority w:val="99"/>
    <w:rPr>
      <w:kern w:val="2"/>
      <w:sz w:val="21"/>
    </w:rPr>
  </w:style>
  <w:style w:type="character" w:customStyle="1" w:styleId="36">
    <w:name w:val="批注主题 Char"/>
    <w:basedOn w:val="35"/>
    <w:link w:val="16"/>
    <w:qFormat/>
    <w:uiPriority w:val="0"/>
    <w:rPr>
      <w:kern w:val="2"/>
      <w:sz w:val="21"/>
    </w:rPr>
  </w:style>
  <w:style w:type="paragraph" w:customStyle="1" w:styleId="37">
    <w:name w:val="B1"/>
    <w:basedOn w:val="1"/>
    <w:qFormat/>
    <w:uiPriority w:val="0"/>
    <w:pPr>
      <w:ind w:left="568" w:hanging="284"/>
    </w:pPr>
    <w:rPr>
      <w:lang w:val="zh-CN"/>
    </w:rPr>
  </w:style>
  <w:style w:type="paragraph" w:customStyle="1" w:styleId="38">
    <w:name w:val="main text"/>
    <w:basedOn w:val="1"/>
    <w:qFormat/>
    <w:uiPriority w:val="0"/>
    <w:pPr>
      <w:spacing w:before="60" w:after="60" w:line="288" w:lineRule="auto"/>
      <w:ind w:firstLine="200" w:firstLineChars="200"/>
    </w:pPr>
    <w:rPr>
      <w:rFonts w:eastAsia="Malgun Gothic"/>
      <w:lang w:eastAsia="ko-K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3337</Words>
  <Characters>19026</Characters>
  <Lines>158</Lines>
  <Paragraphs>44</Paragraphs>
  <TotalTime>0</TotalTime>
  <ScaleCrop>false</ScaleCrop>
  <LinksUpToDate>false</LinksUpToDate>
  <CharactersWithSpaces>22319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2021-01-17T13:40:00Z</dcterms:created>
  <dc:creator>ZTE</dc:creator>
  <cp:lastModifiedBy>ZTE_xwm</cp:lastModifiedBy>
  <dcterms:modified xsi:type="dcterms:W3CDTF">2021-05-11T06:27:18Z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